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方正小标宋简体" w:hAnsi="方正小标宋简体" w:eastAsia="方正小标宋简体" w:cs="方正小标宋简体"/>
          <w:b/>
          <w:kern w:val="2"/>
          <w:sz w:val="52"/>
          <w:szCs w:val="52"/>
        </w:rPr>
      </w:pPr>
      <w:r>
        <w:rPr>
          <w:rFonts w:hint="eastAsia" w:ascii="方正小标宋简体" w:hAnsi="方正小标宋简体" w:eastAsia="方正小标宋简体" w:cs="方正小标宋简体"/>
          <w:b/>
          <w:kern w:val="2"/>
          <w:sz w:val="52"/>
          <w:szCs w:val="52"/>
        </w:rPr>
        <w:t>济南黄河爆破工程有限责任公司</w:t>
      </w:r>
    </w:p>
    <w:p>
      <w:pPr>
        <w:spacing w:line="300" w:lineRule="auto"/>
        <w:jc w:val="center"/>
        <w:rPr>
          <w:rFonts w:ascii="方正小标宋简体" w:hAnsi="方正小标宋简体" w:eastAsia="方正小标宋简体" w:cs="方正小标宋简体"/>
          <w:b/>
          <w:bCs/>
          <w:color w:val="000000"/>
          <w:w w:val="90"/>
          <w:sz w:val="44"/>
          <w:szCs w:val="44"/>
        </w:rPr>
      </w:pPr>
      <w:r>
        <w:rPr>
          <w:rFonts w:hint="eastAsia" w:ascii="方正小标宋简体" w:hAnsi="方正小标宋简体" w:eastAsia="方正小标宋简体" w:cs="方正小标宋简体"/>
          <w:b/>
          <w:kern w:val="2"/>
          <w:sz w:val="52"/>
          <w:szCs w:val="52"/>
        </w:rPr>
        <w:t>（</w:t>
      </w:r>
      <w:r>
        <w:rPr>
          <w:rFonts w:hint="eastAsia" w:ascii="方正小标宋简体" w:hAnsi="方正小标宋简体" w:eastAsia="方正小标宋简体" w:cs="方正小标宋简体"/>
          <w:b/>
          <w:kern w:val="2"/>
          <w:sz w:val="52"/>
          <w:szCs w:val="52"/>
          <w:lang w:val="en-US" w:eastAsia="zh-CN"/>
        </w:rPr>
        <w:t>滚筒筛设备隐患整改</w:t>
      </w:r>
      <w:r>
        <w:rPr>
          <w:rFonts w:hint="eastAsia" w:ascii="方正小标宋简体" w:hAnsi="方正小标宋简体" w:eastAsia="方正小标宋简体" w:cs="方正小标宋简体"/>
          <w:b/>
          <w:kern w:val="2"/>
          <w:sz w:val="52"/>
          <w:szCs w:val="52"/>
        </w:rPr>
        <w:t>）</w:t>
      </w:r>
    </w:p>
    <w:p>
      <w:pPr>
        <w:spacing w:line="300" w:lineRule="auto"/>
        <w:ind w:firstLine="3182" w:firstLineChars="800"/>
        <w:rPr>
          <w:rFonts w:ascii="方正小标宋简体" w:hAnsi="方正小标宋简体" w:eastAsia="方正小标宋简体" w:cs="方正小标宋简体"/>
          <w:b/>
          <w:bCs/>
          <w:color w:val="000000"/>
          <w:w w:val="90"/>
          <w:sz w:val="44"/>
          <w:szCs w:val="44"/>
        </w:rPr>
      </w:pPr>
    </w:p>
    <w:p>
      <w:pPr>
        <w:spacing w:line="300" w:lineRule="auto"/>
        <w:ind w:firstLine="3182" w:firstLineChars="800"/>
        <w:rPr>
          <w:rFonts w:ascii="方正小标宋简体" w:hAnsi="方正小标宋简体" w:eastAsia="方正小标宋简体" w:cs="方正小标宋简体"/>
          <w:b/>
          <w:bCs/>
          <w:color w:val="000000"/>
          <w:w w:val="90"/>
          <w:sz w:val="44"/>
          <w:szCs w:val="44"/>
        </w:rPr>
      </w:pPr>
    </w:p>
    <w:p>
      <w:pPr>
        <w:spacing w:line="300" w:lineRule="auto"/>
        <w:ind w:firstLine="3182" w:firstLineChars="800"/>
        <w:rPr>
          <w:rFonts w:ascii="方正小标宋简体" w:hAnsi="方正小标宋简体" w:eastAsia="方正小标宋简体" w:cs="方正小标宋简体"/>
          <w:b/>
          <w:bCs/>
          <w:color w:val="000000"/>
          <w:w w:val="90"/>
          <w:sz w:val="44"/>
          <w:szCs w:val="44"/>
        </w:rPr>
      </w:pPr>
    </w:p>
    <w:p>
      <w:pPr>
        <w:widowControl w:val="0"/>
        <w:spacing w:before="468" w:beforeLines="150" w:after="468" w:afterLines="150"/>
        <w:jc w:val="center"/>
        <w:rPr>
          <w:rFonts w:ascii="方正小标宋简体" w:hAnsi="方正小标宋简体" w:eastAsia="方正小标宋简体" w:cs="方正小标宋简体"/>
          <w:b/>
          <w:kern w:val="2"/>
          <w:sz w:val="52"/>
          <w:szCs w:val="52"/>
        </w:rPr>
      </w:pPr>
      <w:r>
        <w:rPr>
          <w:rFonts w:hint="eastAsia" w:ascii="方正小标宋简体" w:hAnsi="方正小标宋简体" w:eastAsia="方正小标宋简体" w:cs="方正小标宋简体"/>
          <w:b/>
          <w:kern w:val="2"/>
          <w:sz w:val="52"/>
          <w:szCs w:val="52"/>
        </w:rPr>
        <w:t>竞争性谈判文件</w:t>
      </w:r>
    </w:p>
    <w:p>
      <w:pPr>
        <w:spacing w:line="300" w:lineRule="auto"/>
        <w:jc w:val="center"/>
        <w:rPr>
          <w:rFonts w:ascii="方正小标宋简体" w:hAnsi="方正小标宋简体" w:eastAsia="方正小标宋简体" w:cs="方正小标宋简体"/>
          <w:b/>
          <w:bCs/>
          <w:color w:val="000000"/>
          <w:w w:val="90"/>
          <w:sz w:val="44"/>
          <w:szCs w:val="44"/>
        </w:rPr>
      </w:pPr>
    </w:p>
    <w:p>
      <w:pPr>
        <w:spacing w:line="300" w:lineRule="auto"/>
        <w:ind w:firstLine="6401" w:firstLineChars="1449"/>
        <w:rPr>
          <w:rFonts w:ascii="方正小标宋简体" w:hAnsi="方正小标宋简体" w:eastAsia="方正小标宋简体" w:cs="方正小标宋简体"/>
          <w:b/>
          <w:color w:val="000000"/>
          <w:sz w:val="44"/>
          <w:szCs w:val="44"/>
        </w:rPr>
      </w:pPr>
    </w:p>
    <w:p>
      <w:pPr>
        <w:spacing w:line="300" w:lineRule="auto"/>
        <w:ind w:firstLine="5288" w:firstLineChars="1646"/>
        <w:rPr>
          <w:rFonts w:ascii="方正小标宋简体" w:hAnsi="方正小标宋简体" w:eastAsia="方正小标宋简体" w:cs="方正小标宋简体"/>
          <w:b/>
          <w:color w:val="000000"/>
          <w:sz w:val="32"/>
          <w:szCs w:val="32"/>
          <w:u w:val="single"/>
        </w:rPr>
      </w:pPr>
    </w:p>
    <w:p>
      <w:pPr>
        <w:tabs>
          <w:tab w:val="left" w:pos="1134"/>
          <w:tab w:val="left" w:pos="5481"/>
          <w:tab w:val="left" w:pos="5859"/>
        </w:tabs>
        <w:spacing w:line="300" w:lineRule="auto"/>
        <w:rPr>
          <w:rFonts w:ascii="方正小标宋简体" w:hAnsi="方正小标宋简体" w:eastAsia="方正小标宋简体" w:cs="方正小标宋简体"/>
          <w:b/>
          <w:color w:val="000000"/>
          <w:sz w:val="28"/>
          <w:szCs w:val="28"/>
        </w:rPr>
      </w:pPr>
    </w:p>
    <w:p>
      <w:pPr>
        <w:tabs>
          <w:tab w:val="left" w:pos="1134"/>
          <w:tab w:val="left" w:pos="5481"/>
          <w:tab w:val="left" w:pos="5859"/>
        </w:tabs>
        <w:spacing w:line="300" w:lineRule="auto"/>
        <w:rPr>
          <w:rFonts w:ascii="方正小标宋简体" w:hAnsi="方正小标宋简体" w:eastAsia="方正小标宋简体" w:cs="方正小标宋简体"/>
          <w:b/>
          <w:color w:val="000000"/>
          <w:sz w:val="28"/>
          <w:szCs w:val="28"/>
        </w:rPr>
      </w:pPr>
    </w:p>
    <w:p>
      <w:pPr>
        <w:spacing w:line="300" w:lineRule="auto"/>
        <w:ind w:firstLine="560" w:firstLineChars="200"/>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28"/>
          <w:szCs w:val="28"/>
        </w:rPr>
        <w:t xml:space="preserve">   </w:t>
      </w:r>
      <w:r>
        <w:rPr>
          <w:rFonts w:hint="eastAsia" w:ascii="方正小标宋简体" w:hAnsi="方正小标宋简体" w:eastAsia="方正小标宋简体" w:cs="方正小标宋简体"/>
          <w:bCs/>
          <w:color w:val="000000"/>
          <w:sz w:val="32"/>
          <w:szCs w:val="32"/>
        </w:rPr>
        <w:t xml:space="preserve">    采购人：济南黄河爆破工程有限责任公司 </w:t>
      </w:r>
    </w:p>
    <w:p>
      <w:pPr>
        <w:pStyle w:val="19"/>
        <w:spacing w:line="300" w:lineRule="auto"/>
        <w:jc w:val="center"/>
        <w:rPr>
          <w:rFonts w:ascii="方正小标宋简体" w:hAnsi="方正小标宋简体" w:eastAsia="方正小标宋简体" w:cs="方正小标宋简体"/>
          <w:bCs/>
          <w:color w:val="000000"/>
          <w:spacing w:val="28"/>
          <w:sz w:val="32"/>
          <w:szCs w:val="32"/>
          <w:highlight w:val="yellow"/>
        </w:rPr>
      </w:pPr>
      <w:r>
        <w:rPr>
          <w:rFonts w:hint="eastAsia" w:ascii="方正小标宋简体" w:hAnsi="方正小标宋简体" w:eastAsia="方正小标宋简体" w:cs="方正小标宋简体"/>
          <w:bCs/>
          <w:color w:val="000000"/>
          <w:spacing w:val="28"/>
          <w:sz w:val="32"/>
          <w:szCs w:val="32"/>
          <w:highlight w:val="yellow"/>
        </w:rPr>
        <w:t>202</w:t>
      </w:r>
      <w:r>
        <w:rPr>
          <w:rFonts w:hint="eastAsia" w:ascii="方正小标宋简体" w:hAnsi="方正小标宋简体" w:eastAsia="方正小标宋简体" w:cs="方正小标宋简体"/>
          <w:bCs/>
          <w:color w:val="000000"/>
          <w:spacing w:val="28"/>
          <w:sz w:val="32"/>
          <w:szCs w:val="32"/>
          <w:highlight w:val="yellow"/>
          <w:lang w:val="en-US" w:eastAsia="zh-CN"/>
        </w:rPr>
        <w:t>4</w:t>
      </w:r>
      <w:r>
        <w:rPr>
          <w:rFonts w:hint="eastAsia" w:ascii="方正小标宋简体" w:hAnsi="方正小标宋简体" w:eastAsia="方正小标宋简体" w:cs="方正小标宋简体"/>
          <w:bCs/>
          <w:color w:val="000000"/>
          <w:spacing w:val="28"/>
          <w:sz w:val="32"/>
          <w:szCs w:val="32"/>
          <w:highlight w:val="yellow"/>
        </w:rPr>
        <w:t>年</w:t>
      </w:r>
      <w:r>
        <w:rPr>
          <w:rFonts w:hint="eastAsia" w:ascii="方正小标宋简体" w:hAnsi="方正小标宋简体" w:eastAsia="方正小标宋简体" w:cs="方正小标宋简体"/>
          <w:bCs/>
          <w:color w:val="000000"/>
          <w:spacing w:val="28"/>
          <w:sz w:val="32"/>
          <w:szCs w:val="32"/>
          <w:highlight w:val="yellow"/>
          <w:lang w:val="en-US" w:eastAsia="zh-CN"/>
        </w:rPr>
        <w:t>7</w:t>
      </w:r>
      <w:r>
        <w:rPr>
          <w:rFonts w:hint="eastAsia" w:ascii="方正小标宋简体" w:hAnsi="方正小标宋简体" w:eastAsia="方正小标宋简体" w:cs="方正小标宋简体"/>
          <w:bCs/>
          <w:color w:val="000000"/>
          <w:spacing w:val="28"/>
          <w:sz w:val="32"/>
          <w:szCs w:val="32"/>
          <w:highlight w:val="yellow"/>
        </w:rPr>
        <w:t>月</w:t>
      </w:r>
      <w:r>
        <w:rPr>
          <w:rFonts w:hint="eastAsia" w:ascii="方正小标宋简体" w:hAnsi="方正小标宋简体" w:eastAsia="方正小标宋简体" w:cs="方正小标宋简体"/>
          <w:bCs/>
          <w:color w:val="000000"/>
          <w:spacing w:val="28"/>
          <w:sz w:val="32"/>
          <w:szCs w:val="32"/>
          <w:highlight w:val="yellow"/>
          <w:lang w:val="en-US" w:eastAsia="zh-CN"/>
        </w:rPr>
        <w:t>25</w:t>
      </w:r>
      <w:r>
        <w:rPr>
          <w:rFonts w:hint="eastAsia" w:ascii="方正小标宋简体" w:hAnsi="方正小标宋简体" w:eastAsia="方正小标宋简体" w:cs="方正小标宋简体"/>
          <w:bCs/>
          <w:color w:val="000000"/>
          <w:spacing w:val="28"/>
          <w:sz w:val="32"/>
          <w:szCs w:val="32"/>
          <w:highlight w:val="yellow"/>
        </w:rPr>
        <w:t>日</w:t>
      </w:r>
    </w:p>
    <w:p>
      <w:pPr>
        <w:spacing w:line="300" w:lineRule="auto"/>
        <w:rPr>
          <w:rFonts w:ascii="方正小标宋简体" w:hAnsi="方正小标宋简体" w:eastAsia="方正小标宋简体" w:cs="方正小标宋简体"/>
          <w:bCs/>
          <w:color w:val="000000"/>
          <w:sz w:val="28"/>
          <w:szCs w:val="28"/>
        </w:rPr>
        <w:sectPr>
          <w:headerReference r:id="rId3" w:type="default"/>
          <w:footerReference r:id="rId4" w:type="default"/>
          <w:pgSz w:w="11906" w:h="16838"/>
          <w:pgMar w:top="1440" w:right="1416" w:bottom="1440" w:left="1560" w:header="851" w:footer="992" w:gutter="0"/>
          <w:cols w:space="720" w:num="1"/>
          <w:docGrid w:type="lines" w:linePitch="312" w:charSpace="0"/>
        </w:sectPr>
      </w:pPr>
    </w:p>
    <w:p>
      <w:pPr>
        <w:spacing w:line="300" w:lineRule="auto"/>
        <w:jc w:val="center"/>
        <w:rPr>
          <w:rFonts w:ascii="黑体" w:hAnsi="黑体" w:eastAsia="黑体"/>
          <w:b/>
          <w:color w:val="000000"/>
          <w:sz w:val="36"/>
          <w:szCs w:val="36"/>
        </w:rPr>
      </w:pPr>
      <w:r>
        <w:rPr>
          <w:rFonts w:hint="eastAsia" w:ascii="黑体" w:hAnsi="黑体" w:eastAsia="黑体"/>
          <w:b/>
          <w:color w:val="000000"/>
          <w:sz w:val="36"/>
          <w:szCs w:val="36"/>
        </w:rPr>
        <w:t>第一章</w:t>
      </w:r>
      <w:r>
        <w:rPr>
          <w:rFonts w:ascii="黑体" w:hAnsi="黑体" w:eastAsia="黑体"/>
          <w:b/>
          <w:color w:val="000000"/>
          <w:sz w:val="36"/>
          <w:szCs w:val="36"/>
        </w:rPr>
        <w:t xml:space="preserve"> </w:t>
      </w:r>
      <w:bookmarkStart w:id="0" w:name="_Toc446434284"/>
      <w:bookmarkEnd w:id="0"/>
      <w:r>
        <w:rPr>
          <w:rFonts w:hint="eastAsia" w:ascii="黑体" w:hAnsi="黑体" w:eastAsia="黑体"/>
          <w:b/>
          <w:color w:val="000000"/>
          <w:sz w:val="36"/>
          <w:szCs w:val="36"/>
        </w:rPr>
        <w:t xml:space="preserve">  竞争性谈判公告</w:t>
      </w:r>
    </w:p>
    <w:p>
      <w:pPr>
        <w:widowControl w:val="0"/>
        <w:spacing w:line="360" w:lineRule="auto"/>
        <w:rPr>
          <w:rFonts w:cs="Times New Roman"/>
          <w:b/>
          <w:bCs/>
          <w:kern w:val="2"/>
          <w:szCs w:val="22"/>
          <w:highlight w:val="yellow"/>
        </w:rPr>
      </w:pPr>
      <w:r>
        <w:rPr>
          <w:rFonts w:cs="Times New Roman"/>
          <w:b/>
          <w:bCs/>
          <w:kern w:val="2"/>
          <w:szCs w:val="22"/>
          <w:highlight w:val="yellow"/>
        </w:rPr>
        <w:t>一、</w:t>
      </w:r>
      <w:r>
        <w:rPr>
          <w:rFonts w:hint="eastAsia" w:cs="Times New Roman"/>
          <w:b/>
          <w:bCs/>
          <w:kern w:val="2"/>
          <w:szCs w:val="22"/>
          <w:highlight w:val="yellow"/>
        </w:rPr>
        <w:t>采购</w:t>
      </w:r>
      <w:r>
        <w:rPr>
          <w:rFonts w:cs="Times New Roman"/>
          <w:b/>
          <w:bCs/>
          <w:kern w:val="2"/>
          <w:szCs w:val="22"/>
          <w:highlight w:val="yellow"/>
        </w:rPr>
        <w:t>编号：</w:t>
      </w:r>
      <w:r>
        <w:rPr>
          <w:rFonts w:hint="eastAsia" w:cs="Times New Roman"/>
          <w:b/>
          <w:bCs/>
          <w:kern w:val="2"/>
          <w:szCs w:val="22"/>
          <w:highlight w:val="yellow"/>
        </w:rPr>
        <w:t>1173240716001</w:t>
      </w:r>
    </w:p>
    <w:p>
      <w:pPr>
        <w:widowControl w:val="0"/>
        <w:spacing w:line="360" w:lineRule="auto"/>
        <w:rPr>
          <w:rFonts w:hint="default" w:eastAsia="宋体" w:cs="Times New Roman"/>
          <w:b/>
          <w:bCs/>
          <w:kern w:val="2"/>
          <w:szCs w:val="22"/>
          <w:lang w:val="en-US" w:eastAsia="zh-CN"/>
        </w:rPr>
      </w:pPr>
      <w:r>
        <w:rPr>
          <w:rFonts w:cs="Times New Roman"/>
          <w:b/>
          <w:bCs/>
          <w:kern w:val="2"/>
          <w:szCs w:val="22"/>
        </w:rPr>
        <w:t>二、</w:t>
      </w:r>
      <w:r>
        <w:rPr>
          <w:rFonts w:hint="eastAsia" w:cs="Times New Roman"/>
          <w:b/>
          <w:bCs/>
          <w:kern w:val="2"/>
          <w:szCs w:val="22"/>
        </w:rPr>
        <w:t>采购项目</w:t>
      </w:r>
      <w:r>
        <w:rPr>
          <w:rFonts w:cs="Times New Roman"/>
          <w:b/>
          <w:bCs/>
          <w:kern w:val="2"/>
          <w:szCs w:val="22"/>
        </w:rPr>
        <w:t>名称：</w:t>
      </w:r>
      <w:r>
        <w:rPr>
          <w:rFonts w:hint="eastAsia" w:cs="Times New Roman"/>
          <w:b/>
          <w:bCs/>
          <w:kern w:val="2"/>
          <w:szCs w:val="22"/>
          <w:lang w:val="en-US" w:eastAsia="zh-CN"/>
        </w:rPr>
        <w:t>滚筒筛设备隐患整改</w:t>
      </w:r>
    </w:p>
    <w:p>
      <w:pPr>
        <w:pStyle w:val="14"/>
        <w:spacing w:after="0" w:line="360" w:lineRule="auto"/>
        <w:ind w:left="0" w:leftChars="0" w:firstLine="0" w:firstLineChars="0"/>
        <w:jc w:val="left"/>
        <w:rPr>
          <w:b/>
          <w:bCs/>
          <w:kern w:val="2"/>
          <w:szCs w:val="22"/>
        </w:rPr>
      </w:pPr>
      <w:r>
        <w:rPr>
          <w:b/>
          <w:bCs/>
          <w:kern w:val="2"/>
          <w:szCs w:val="22"/>
        </w:rPr>
        <w:t>三、</w:t>
      </w:r>
      <w:r>
        <w:rPr>
          <w:rFonts w:hint="eastAsia"/>
          <w:b/>
          <w:bCs/>
          <w:kern w:val="2"/>
          <w:szCs w:val="22"/>
        </w:rPr>
        <w:t>采购</w:t>
      </w:r>
      <w:r>
        <w:rPr>
          <w:b/>
          <w:bCs/>
          <w:kern w:val="2"/>
          <w:szCs w:val="22"/>
        </w:rPr>
        <w:t>内容</w:t>
      </w:r>
      <w:r>
        <w:rPr>
          <w:rFonts w:hint="eastAsia"/>
          <w:b/>
          <w:bCs/>
          <w:kern w:val="2"/>
          <w:szCs w:val="22"/>
        </w:rPr>
        <w:t>和供货周期</w:t>
      </w:r>
    </w:p>
    <w:p>
      <w:pPr>
        <w:tabs>
          <w:tab w:val="left" w:pos="2880"/>
        </w:tabs>
        <w:spacing w:line="300" w:lineRule="auto"/>
        <w:ind w:left="-619" w:leftChars="-258" w:firstLine="1080" w:firstLineChars="450"/>
      </w:pPr>
      <w:r>
        <w:rPr>
          <w:rFonts w:hint="eastAsia"/>
          <w:lang w:val="en-US" w:eastAsia="zh-CN"/>
        </w:rPr>
        <w:t>详见</w:t>
      </w:r>
      <w:r>
        <w:t>招标文件。</w:t>
      </w:r>
    </w:p>
    <w:p>
      <w:pPr>
        <w:tabs>
          <w:tab w:val="left" w:pos="2880"/>
        </w:tabs>
        <w:spacing w:line="300" w:lineRule="auto"/>
        <w:ind w:left="-619" w:leftChars="-258" w:firstLine="1080" w:firstLineChars="450"/>
        <w:rPr>
          <w:rFonts w:cs="Times New Roman"/>
          <w:kern w:val="2"/>
          <w:szCs w:val="22"/>
        </w:rPr>
      </w:pPr>
      <w:r>
        <w:rPr>
          <w:rFonts w:hint="eastAsia"/>
          <w:color w:val="000000"/>
        </w:rPr>
        <w:t>工期：</w:t>
      </w:r>
      <w:r>
        <w:rPr>
          <w:rFonts w:hint="eastAsia"/>
          <w:color w:val="000000"/>
          <w:lang w:val="en-US" w:eastAsia="zh-CN"/>
        </w:rPr>
        <w:t>10</w:t>
      </w:r>
      <w:r>
        <w:rPr>
          <w:rFonts w:hint="eastAsia"/>
          <w:color w:val="000000"/>
        </w:rPr>
        <w:t>日历天，</w:t>
      </w:r>
      <w:r>
        <w:rPr>
          <w:color w:val="000000"/>
        </w:rPr>
        <w:t>开工时间以</w:t>
      </w:r>
      <w:r>
        <w:rPr>
          <w:rFonts w:hint="eastAsia"/>
          <w:color w:val="000000"/>
          <w:lang w:val="en-US" w:eastAsia="zh-CN"/>
        </w:rPr>
        <w:t>合同签订之日</w:t>
      </w:r>
      <w:r>
        <w:rPr>
          <w:color w:val="000000"/>
        </w:rPr>
        <w:t>为准</w:t>
      </w:r>
    </w:p>
    <w:p>
      <w:pPr>
        <w:pStyle w:val="14"/>
        <w:spacing w:after="0" w:line="360" w:lineRule="auto"/>
        <w:ind w:left="0" w:leftChars="0" w:firstLine="0" w:firstLineChars="0"/>
        <w:jc w:val="left"/>
        <w:rPr>
          <w:b/>
          <w:bCs/>
          <w:kern w:val="2"/>
          <w:szCs w:val="22"/>
        </w:rPr>
      </w:pPr>
      <w:r>
        <w:rPr>
          <w:b/>
          <w:bCs/>
          <w:kern w:val="2"/>
          <w:szCs w:val="22"/>
        </w:rPr>
        <w:t>四、</w:t>
      </w:r>
      <w:r>
        <w:rPr>
          <w:rFonts w:hint="eastAsia"/>
          <w:b/>
          <w:bCs/>
          <w:kern w:val="2"/>
          <w:szCs w:val="22"/>
        </w:rPr>
        <w:t>供应商的</w:t>
      </w:r>
      <w:r>
        <w:rPr>
          <w:b/>
          <w:bCs/>
          <w:kern w:val="2"/>
          <w:szCs w:val="22"/>
        </w:rPr>
        <w:t>资格要求</w:t>
      </w:r>
    </w:p>
    <w:p>
      <w:pPr>
        <w:spacing w:line="300" w:lineRule="auto"/>
        <w:ind w:left="-420" w:leftChars="-175" w:firstLine="919" w:firstLineChars="383"/>
        <w:rPr>
          <w:rFonts w:cs="Times New Roman"/>
          <w:kern w:val="2"/>
          <w:szCs w:val="22"/>
        </w:rPr>
      </w:pPr>
      <w:r>
        <w:rPr>
          <w:rFonts w:cs="Times New Roman"/>
          <w:kern w:val="2"/>
          <w:szCs w:val="22"/>
        </w:rPr>
        <w:t>1</w:t>
      </w:r>
      <w:r>
        <w:rPr>
          <w:rFonts w:hint="eastAsia" w:cs="Times New Roman"/>
          <w:kern w:val="2"/>
          <w:szCs w:val="22"/>
        </w:rPr>
        <w:t>、</w:t>
      </w:r>
      <w:r>
        <w:rPr>
          <w:rFonts w:cs="Times New Roman"/>
          <w:kern w:val="2"/>
          <w:szCs w:val="22"/>
        </w:rPr>
        <w:t>资质要求：</w:t>
      </w:r>
    </w:p>
    <w:p>
      <w:pPr>
        <w:spacing w:line="300" w:lineRule="auto"/>
        <w:ind w:left="300" w:leftChars="125" w:firstLine="206" w:firstLineChars="86"/>
        <w:rPr>
          <w:color w:val="000000"/>
        </w:rPr>
      </w:pPr>
      <w:r>
        <w:rPr>
          <w:rFonts w:hint="eastAsia"/>
          <w:color w:val="000000"/>
        </w:rPr>
        <w:t>依法成立，具有法人资格、一般纳税人资格的施工企业；</w:t>
      </w:r>
    </w:p>
    <w:p>
      <w:pPr>
        <w:spacing w:line="300" w:lineRule="auto"/>
        <w:ind w:firstLine="480" w:firstLineChars="200"/>
        <w:rPr>
          <w:color w:val="000000"/>
        </w:rPr>
      </w:pPr>
      <w:r>
        <w:rPr>
          <w:rFonts w:hint="eastAsia" w:cs="Times New Roman"/>
          <w:kern w:val="2"/>
          <w:szCs w:val="22"/>
          <w:lang w:val="en-US" w:eastAsia="zh-CN"/>
        </w:rPr>
        <w:t>2</w:t>
      </w:r>
      <w:r>
        <w:rPr>
          <w:rFonts w:hint="eastAsia" w:cs="Times New Roman"/>
          <w:kern w:val="2"/>
          <w:szCs w:val="22"/>
        </w:rPr>
        <w:t>、人员要求：具有相关施工经验，</w:t>
      </w:r>
      <w:r>
        <w:rPr>
          <w:color w:val="000000"/>
        </w:rPr>
        <w:t>满足项目实际需求</w:t>
      </w:r>
      <w:r>
        <w:rPr>
          <w:rFonts w:hint="eastAsia"/>
          <w:color w:val="000000"/>
        </w:rPr>
        <w:t>。</w:t>
      </w:r>
    </w:p>
    <w:p>
      <w:pPr>
        <w:widowControl w:val="0"/>
        <w:spacing w:line="360" w:lineRule="auto"/>
        <w:ind w:firstLine="480" w:firstLineChars="200"/>
        <w:rPr>
          <w:rFonts w:cs="Times New Roman"/>
          <w:kern w:val="2"/>
          <w:szCs w:val="22"/>
        </w:rPr>
      </w:pPr>
      <w:r>
        <w:rPr>
          <w:rFonts w:hint="eastAsia" w:cs="Times New Roman"/>
          <w:kern w:val="2"/>
          <w:szCs w:val="22"/>
          <w:lang w:val="en-US" w:eastAsia="zh-CN"/>
        </w:rPr>
        <w:t>3</w:t>
      </w:r>
      <w:r>
        <w:rPr>
          <w:rFonts w:cs="Times New Roman"/>
          <w:kern w:val="2"/>
          <w:szCs w:val="22"/>
        </w:rPr>
        <w:t>、具有良好的企业信誉和健全的财务会计制度；</w:t>
      </w:r>
    </w:p>
    <w:p>
      <w:pPr>
        <w:widowControl w:val="0"/>
        <w:spacing w:line="360" w:lineRule="auto"/>
        <w:ind w:firstLine="480" w:firstLineChars="200"/>
        <w:rPr>
          <w:rFonts w:cs="Times New Roman"/>
          <w:kern w:val="2"/>
          <w:szCs w:val="22"/>
        </w:rPr>
      </w:pPr>
      <w:r>
        <w:rPr>
          <w:rFonts w:hint="eastAsia" w:cs="Times New Roman"/>
          <w:kern w:val="2"/>
          <w:szCs w:val="22"/>
          <w:lang w:val="en-US" w:eastAsia="zh-CN"/>
        </w:rPr>
        <w:t>4</w:t>
      </w:r>
      <w:r>
        <w:rPr>
          <w:rFonts w:cs="Times New Roman"/>
          <w:kern w:val="2"/>
          <w:szCs w:val="22"/>
        </w:rPr>
        <w:t>、具有履行合同必需的设备、专业技术、资质能力；</w:t>
      </w:r>
    </w:p>
    <w:p>
      <w:pPr>
        <w:widowControl w:val="0"/>
        <w:spacing w:line="360" w:lineRule="auto"/>
        <w:ind w:firstLine="480" w:firstLineChars="200"/>
        <w:rPr>
          <w:rFonts w:cs="Times New Roman"/>
          <w:kern w:val="2"/>
          <w:szCs w:val="22"/>
        </w:rPr>
      </w:pPr>
      <w:r>
        <w:rPr>
          <w:rFonts w:hint="eastAsia" w:cs="Times New Roman"/>
          <w:kern w:val="2"/>
          <w:szCs w:val="22"/>
          <w:lang w:val="en-US" w:eastAsia="zh-CN"/>
        </w:rPr>
        <w:t>5</w:t>
      </w:r>
      <w:r>
        <w:rPr>
          <w:rFonts w:cs="Times New Roman"/>
          <w:kern w:val="2"/>
          <w:szCs w:val="22"/>
        </w:rPr>
        <w:t>、有依法缴纳税收和社会保障金的良好纪录；</w:t>
      </w:r>
    </w:p>
    <w:p>
      <w:pPr>
        <w:spacing w:line="360" w:lineRule="auto"/>
        <w:ind w:firstLine="480" w:firstLineChars="200"/>
      </w:pPr>
      <w:r>
        <w:rPr>
          <w:rFonts w:hint="eastAsia"/>
          <w:lang w:val="en-US" w:eastAsia="zh-CN"/>
        </w:rPr>
        <w:t>6</w:t>
      </w:r>
      <w:r>
        <w:rPr>
          <w:rFonts w:hint="eastAsia"/>
        </w:rPr>
        <w:t>、投标人须遵守中华人民共和国有关法律、法规，无重大违法违约行为。“通过“信用中国”网站（www.creditchina.gov.cn）、中国政府招标网（www.ccgp.gov.cn）查询，未被列入失信被执行人、重大税收违法案件当事人、政府招标严重违法失信行为记录名单”，提供查询截屏。</w:t>
      </w:r>
    </w:p>
    <w:p>
      <w:pPr>
        <w:widowControl w:val="0"/>
        <w:spacing w:line="360" w:lineRule="auto"/>
        <w:ind w:firstLine="480" w:firstLineChars="200"/>
        <w:rPr>
          <w:rFonts w:cs="Times New Roman"/>
          <w:kern w:val="2"/>
          <w:szCs w:val="22"/>
        </w:rPr>
      </w:pPr>
      <w:r>
        <w:rPr>
          <w:rFonts w:hint="eastAsia" w:cs="Times New Roman"/>
          <w:kern w:val="2"/>
          <w:szCs w:val="22"/>
          <w:lang w:val="en-US" w:eastAsia="zh-CN"/>
        </w:rPr>
        <w:t>7</w:t>
      </w:r>
      <w:r>
        <w:rPr>
          <w:rFonts w:cs="Times New Roman"/>
          <w:kern w:val="2"/>
          <w:szCs w:val="22"/>
        </w:rPr>
        <w:t>、如有单位资料造假，一经发现，立即在网上公示，并永久取消</w:t>
      </w:r>
      <w:r>
        <w:rPr>
          <w:rFonts w:hint="eastAsia" w:cs="Times New Roman"/>
          <w:kern w:val="2"/>
          <w:szCs w:val="22"/>
        </w:rPr>
        <w:t>投标</w:t>
      </w:r>
      <w:r>
        <w:rPr>
          <w:rFonts w:cs="Times New Roman"/>
          <w:kern w:val="2"/>
          <w:szCs w:val="22"/>
        </w:rPr>
        <w:t>资格。</w:t>
      </w:r>
    </w:p>
    <w:p>
      <w:pPr>
        <w:spacing w:line="360" w:lineRule="auto"/>
        <w:rPr>
          <w:b/>
          <w:bCs/>
        </w:rPr>
      </w:pPr>
      <w:r>
        <w:rPr>
          <w:rFonts w:hint="eastAsia" w:cs="Times New Roman"/>
          <w:b/>
          <w:bCs/>
          <w:kern w:val="2"/>
          <w:szCs w:val="22"/>
        </w:rPr>
        <w:t>五、</w:t>
      </w:r>
      <w:r>
        <w:rPr>
          <w:rFonts w:hint="eastAsia"/>
          <w:b/>
          <w:bCs/>
        </w:rPr>
        <w:t>公告和报名</w:t>
      </w:r>
    </w:p>
    <w:p>
      <w:pPr>
        <w:spacing w:line="360" w:lineRule="auto"/>
        <w:ind w:firstLine="480" w:firstLineChars="200"/>
      </w:pPr>
      <w:r>
        <w:rPr>
          <w:rFonts w:hint="eastAsia"/>
        </w:rPr>
        <w:t>1、报名方式：通过登录济钢集团有限公司阳光购销平台网上报名，平台网址：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xml:space="preserve">/； </w:t>
      </w:r>
    </w:p>
    <w:p>
      <w:pPr>
        <w:spacing w:line="360" w:lineRule="auto"/>
        <w:ind w:firstLine="480" w:firstLineChars="200"/>
      </w:pPr>
      <w:r>
        <w:rPr>
          <w:rFonts w:hint="eastAsia"/>
        </w:rPr>
        <w:t>2、公告和报名时间：</w:t>
      </w:r>
      <w:r>
        <w:rPr>
          <w:rFonts w:hint="eastAsia"/>
          <w:highlight w:val="yellow"/>
        </w:rPr>
        <w:t>202</w:t>
      </w:r>
      <w:r>
        <w:rPr>
          <w:rFonts w:hint="eastAsia"/>
          <w:highlight w:val="yellow"/>
          <w:lang w:val="en-US" w:eastAsia="zh-CN"/>
        </w:rPr>
        <w:t>4</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25</w:t>
      </w:r>
      <w:r>
        <w:rPr>
          <w:rFonts w:hint="eastAsia"/>
          <w:highlight w:val="yellow"/>
        </w:rPr>
        <w:t>日～202</w:t>
      </w:r>
      <w:r>
        <w:rPr>
          <w:rFonts w:hint="eastAsia"/>
          <w:highlight w:val="yellow"/>
          <w:lang w:val="en-US" w:eastAsia="zh-CN"/>
        </w:rPr>
        <w:t>4</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29</w:t>
      </w:r>
      <w:r>
        <w:rPr>
          <w:rFonts w:hint="eastAsia"/>
          <w:highlight w:val="yellow"/>
        </w:rPr>
        <w:t>日</w:t>
      </w:r>
      <w:r>
        <w:rPr>
          <w:rFonts w:hint="eastAsia"/>
        </w:rPr>
        <w:t>（北京时间）。</w:t>
      </w:r>
    </w:p>
    <w:p>
      <w:pPr>
        <w:widowControl w:val="0"/>
        <w:spacing w:line="360" w:lineRule="auto"/>
        <w:rPr>
          <w:rFonts w:cs="Times New Roman"/>
          <w:b/>
          <w:bCs/>
          <w:kern w:val="2"/>
          <w:szCs w:val="22"/>
        </w:rPr>
      </w:pPr>
      <w:r>
        <w:rPr>
          <w:rFonts w:hint="eastAsia" w:cs="Times New Roman"/>
          <w:b/>
          <w:bCs/>
          <w:kern w:val="2"/>
          <w:szCs w:val="22"/>
        </w:rPr>
        <w:t>六</w:t>
      </w:r>
      <w:r>
        <w:rPr>
          <w:rFonts w:cs="Times New Roman"/>
          <w:b/>
          <w:bCs/>
          <w:kern w:val="2"/>
          <w:szCs w:val="22"/>
        </w:rPr>
        <w:t>、</w:t>
      </w:r>
      <w:r>
        <w:rPr>
          <w:rFonts w:hint="eastAsia" w:cs="Times New Roman"/>
          <w:b/>
          <w:bCs/>
          <w:kern w:val="2"/>
          <w:szCs w:val="22"/>
        </w:rPr>
        <w:t>谈判时间和方式</w:t>
      </w:r>
    </w:p>
    <w:p>
      <w:pPr>
        <w:widowControl w:val="0"/>
        <w:spacing w:line="360" w:lineRule="auto"/>
        <w:ind w:firstLine="480" w:firstLineChars="200"/>
        <w:rPr>
          <w:rFonts w:cs="Times New Roman"/>
          <w:kern w:val="2"/>
          <w:szCs w:val="22"/>
        </w:rPr>
      </w:pPr>
      <w:r>
        <w:rPr>
          <w:rFonts w:cs="Times New Roman"/>
          <w:kern w:val="2"/>
          <w:szCs w:val="22"/>
        </w:rPr>
        <w:t>1、</w:t>
      </w:r>
      <w:r>
        <w:rPr>
          <w:rFonts w:hint="eastAsia" w:cs="Times New Roman"/>
          <w:kern w:val="2"/>
          <w:szCs w:val="22"/>
        </w:rPr>
        <w:t>谈判</w:t>
      </w:r>
      <w:r>
        <w:rPr>
          <w:rFonts w:cs="Times New Roman"/>
          <w:kern w:val="2"/>
          <w:szCs w:val="22"/>
        </w:rPr>
        <w:t>时间：</w:t>
      </w:r>
      <w:r>
        <w:rPr>
          <w:rFonts w:hint="eastAsia" w:cs="Times New Roman"/>
          <w:kern w:val="2"/>
          <w:szCs w:val="22"/>
          <w:highlight w:val="yellow"/>
        </w:rPr>
        <w:t>202</w:t>
      </w:r>
      <w:r>
        <w:rPr>
          <w:rFonts w:hint="eastAsia" w:cs="Times New Roman"/>
          <w:kern w:val="2"/>
          <w:szCs w:val="22"/>
          <w:highlight w:val="yellow"/>
          <w:lang w:val="en-US" w:eastAsia="zh-CN"/>
        </w:rPr>
        <w:t>4</w:t>
      </w:r>
      <w:r>
        <w:rPr>
          <w:rFonts w:hint="eastAsia" w:cs="Times New Roman"/>
          <w:kern w:val="2"/>
          <w:szCs w:val="22"/>
          <w:highlight w:val="yellow"/>
        </w:rPr>
        <w:t>年</w:t>
      </w:r>
      <w:r>
        <w:rPr>
          <w:rFonts w:hint="eastAsia" w:cs="Times New Roman"/>
          <w:kern w:val="2"/>
          <w:szCs w:val="22"/>
          <w:highlight w:val="yellow"/>
          <w:lang w:val="en-US" w:eastAsia="zh-CN"/>
        </w:rPr>
        <w:t>7</w:t>
      </w:r>
      <w:r>
        <w:rPr>
          <w:rFonts w:hint="eastAsia" w:cs="Times New Roman"/>
          <w:kern w:val="2"/>
          <w:szCs w:val="22"/>
          <w:highlight w:val="yellow"/>
        </w:rPr>
        <w:t>月</w:t>
      </w:r>
      <w:r>
        <w:rPr>
          <w:rFonts w:hint="eastAsia" w:cs="Times New Roman"/>
          <w:kern w:val="2"/>
          <w:szCs w:val="22"/>
          <w:highlight w:val="yellow"/>
          <w:lang w:val="en-US" w:eastAsia="zh-CN"/>
        </w:rPr>
        <w:t>30</w:t>
      </w:r>
      <w:r>
        <w:rPr>
          <w:rFonts w:hint="eastAsia" w:cs="Times New Roman"/>
          <w:kern w:val="2"/>
          <w:szCs w:val="22"/>
          <w:highlight w:val="yellow"/>
        </w:rPr>
        <w:t>日</w:t>
      </w:r>
      <w:r>
        <w:rPr>
          <w:rFonts w:hint="eastAsia" w:cs="Times New Roman"/>
          <w:kern w:val="2"/>
          <w:szCs w:val="22"/>
          <w:highlight w:val="yellow"/>
          <w:lang w:val="en-US" w:eastAsia="zh-CN"/>
        </w:rPr>
        <w:t>下午14</w:t>
      </w:r>
      <w:r>
        <w:rPr>
          <w:rFonts w:hint="eastAsia" w:cs="Times New Roman"/>
          <w:kern w:val="2"/>
          <w:szCs w:val="22"/>
          <w:highlight w:val="yellow"/>
        </w:rPr>
        <w:t>点</w:t>
      </w:r>
      <w:r>
        <w:rPr>
          <w:rFonts w:cs="Times New Roman"/>
          <w:kern w:val="2"/>
          <w:szCs w:val="22"/>
        </w:rPr>
        <w:t>；</w:t>
      </w:r>
    </w:p>
    <w:p>
      <w:pPr>
        <w:widowControl w:val="0"/>
        <w:spacing w:line="360" w:lineRule="auto"/>
        <w:ind w:firstLine="480" w:firstLineChars="200"/>
        <w:rPr>
          <w:rFonts w:cs="Times New Roman"/>
          <w:kern w:val="2"/>
          <w:szCs w:val="22"/>
        </w:rPr>
      </w:pPr>
      <w:r>
        <w:rPr>
          <w:rFonts w:cs="Times New Roman"/>
          <w:kern w:val="2"/>
          <w:szCs w:val="22"/>
        </w:rPr>
        <w:t>2、</w:t>
      </w:r>
      <w:r>
        <w:rPr>
          <w:rFonts w:hint="eastAsia"/>
        </w:rPr>
        <w:t>谈判方式：</w:t>
      </w:r>
      <w:r>
        <w:rPr>
          <w:rFonts w:ascii="Times New Roman" w:hAnsi="Times New Roman"/>
          <w:color w:val="000000"/>
        </w:rPr>
        <w:t>网上</w:t>
      </w:r>
      <w:r>
        <w:rPr>
          <w:rFonts w:hint="eastAsia" w:ascii="Times New Roman" w:hAnsi="Times New Roman"/>
          <w:color w:val="000000"/>
        </w:rPr>
        <w:t>谈判</w:t>
      </w:r>
      <w:r>
        <w:rPr>
          <w:rFonts w:ascii="Times New Roman" w:hAnsi="Times New Roman"/>
          <w:color w:val="000000"/>
        </w:rPr>
        <w:t>，</w:t>
      </w:r>
      <w:r>
        <w:rPr>
          <w:rFonts w:hint="eastAsia" w:ascii="Times New Roman" w:hAnsi="Times New Roman"/>
          <w:color w:val="000000"/>
        </w:rPr>
        <w:t>谈判</w:t>
      </w:r>
      <w:r>
        <w:rPr>
          <w:rFonts w:ascii="Times New Roman" w:hAnsi="Times New Roman"/>
          <w:color w:val="000000"/>
        </w:rPr>
        <w:t>时无需</w:t>
      </w:r>
      <w:r>
        <w:rPr>
          <w:rFonts w:hint="eastAsia" w:ascii="Times New Roman" w:hAnsi="Times New Roman"/>
          <w:color w:val="000000"/>
        </w:rPr>
        <w:t>供应商</w:t>
      </w:r>
      <w:r>
        <w:rPr>
          <w:rFonts w:ascii="Times New Roman" w:hAnsi="Times New Roman"/>
          <w:color w:val="000000"/>
        </w:rPr>
        <w:t>到达现场。</w:t>
      </w:r>
    </w:p>
    <w:p>
      <w:pPr>
        <w:spacing w:line="360" w:lineRule="auto"/>
        <w:rPr>
          <w:rFonts w:cs="Times New Roman"/>
          <w:b/>
          <w:bCs/>
          <w:kern w:val="2"/>
          <w:szCs w:val="22"/>
        </w:rPr>
      </w:pPr>
      <w:r>
        <w:rPr>
          <w:rFonts w:hint="eastAsia" w:cs="Times New Roman"/>
          <w:b/>
          <w:bCs/>
          <w:kern w:val="2"/>
          <w:szCs w:val="22"/>
        </w:rPr>
        <w:t>七</w:t>
      </w:r>
      <w:r>
        <w:rPr>
          <w:rFonts w:cs="Times New Roman"/>
          <w:b/>
          <w:bCs/>
          <w:kern w:val="2"/>
          <w:szCs w:val="22"/>
        </w:rPr>
        <w:t>、</w:t>
      </w:r>
      <w:r>
        <w:rPr>
          <w:rFonts w:hint="eastAsia" w:cs="Times New Roman"/>
          <w:b/>
          <w:bCs/>
          <w:kern w:val="2"/>
          <w:szCs w:val="22"/>
        </w:rPr>
        <w:t>谈判</w:t>
      </w:r>
      <w:r>
        <w:rPr>
          <w:rFonts w:cs="Times New Roman"/>
          <w:b/>
          <w:bCs/>
          <w:kern w:val="2"/>
          <w:szCs w:val="22"/>
        </w:rPr>
        <w:t>保证金：</w:t>
      </w:r>
      <w:r>
        <w:rPr>
          <w:rFonts w:hint="eastAsia" w:cs="Times New Roman"/>
          <w:b/>
          <w:bCs/>
          <w:kern w:val="2"/>
          <w:szCs w:val="22"/>
        </w:rPr>
        <w:t>无</w:t>
      </w:r>
      <w:r>
        <w:rPr>
          <w:rFonts w:cs="Times New Roman"/>
          <w:b/>
          <w:bCs/>
          <w:kern w:val="2"/>
          <w:szCs w:val="22"/>
        </w:rPr>
        <w:tab/>
      </w:r>
    </w:p>
    <w:p>
      <w:pPr>
        <w:spacing w:line="360" w:lineRule="auto"/>
        <w:rPr>
          <w:b/>
          <w:bCs/>
        </w:rPr>
      </w:pPr>
      <w:r>
        <w:rPr>
          <w:rFonts w:hint="eastAsia"/>
          <w:b/>
          <w:bCs/>
        </w:rPr>
        <w:t>八、谈判文件的获取方式</w:t>
      </w:r>
    </w:p>
    <w:p>
      <w:pPr>
        <w:spacing w:line="360" w:lineRule="auto"/>
        <w:ind w:firstLine="480" w:firstLineChars="200"/>
      </w:pPr>
      <w:r>
        <w:rPr>
          <w:rFonts w:hint="eastAsia"/>
        </w:rPr>
        <w:t>1、获取方式：凡有意参加的潜在供应商，在公告期内登陆：济钢集团有限公司阳光购销平台</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，注册用户成功后，须修改初始密码，重新登录后报名，报名成功后即可下载谈判文件</w:t>
      </w:r>
      <w:r>
        <w:t xml:space="preserve">； </w:t>
      </w:r>
    </w:p>
    <w:p>
      <w:pPr>
        <w:spacing w:line="360" w:lineRule="auto"/>
        <w:ind w:firstLine="480" w:firstLineChars="200"/>
      </w:pPr>
      <w:r>
        <w:t>2、售价：报名时自动提示</w:t>
      </w:r>
      <w:r>
        <w:rPr>
          <w:rFonts w:hint="eastAsia"/>
        </w:rPr>
        <w:t>，随谈判</w:t>
      </w:r>
      <w:r>
        <w:t>保证金一同转账</w:t>
      </w:r>
      <w:r>
        <w:rPr>
          <w:rFonts w:hint="eastAsia"/>
        </w:rPr>
        <w:t>，售后不退。</w:t>
      </w:r>
    </w:p>
    <w:p>
      <w:pPr>
        <w:spacing w:line="360" w:lineRule="auto"/>
        <w:rPr>
          <w:b/>
          <w:bCs/>
        </w:rPr>
      </w:pPr>
      <w:r>
        <w:rPr>
          <w:rFonts w:hint="eastAsia"/>
          <w:b/>
          <w:bCs/>
        </w:rPr>
        <w:t>九、资格审查</w:t>
      </w:r>
    </w:p>
    <w:p>
      <w:pPr>
        <w:spacing w:line="360" w:lineRule="auto"/>
        <w:ind w:firstLine="480" w:firstLineChars="200"/>
      </w:pPr>
      <w:r>
        <w:rPr>
          <w:rFonts w:hint="eastAsia"/>
        </w:rPr>
        <w:t>资格后审，不接受联合体。</w:t>
      </w:r>
    </w:p>
    <w:p>
      <w:pPr>
        <w:spacing w:line="360" w:lineRule="auto"/>
        <w:rPr>
          <w:b/>
          <w:bCs/>
        </w:rPr>
      </w:pPr>
      <w:r>
        <w:rPr>
          <w:rFonts w:hint="eastAsia"/>
          <w:b/>
          <w:bCs/>
        </w:rPr>
        <w:t>十、采购人的名称、地址和联系人</w:t>
      </w:r>
    </w:p>
    <w:p>
      <w:pPr>
        <w:pStyle w:val="14"/>
        <w:spacing w:after="0" w:line="360" w:lineRule="auto"/>
        <w:ind w:left="0" w:leftChars="0" w:firstLine="480"/>
        <w:rPr>
          <w:kern w:val="2"/>
          <w:szCs w:val="22"/>
        </w:rPr>
      </w:pPr>
      <w:r>
        <w:rPr>
          <w:rFonts w:hint="eastAsia"/>
        </w:rPr>
        <w:t>1、采购人的名称：</w:t>
      </w:r>
      <w:r>
        <w:rPr>
          <w:rFonts w:hint="eastAsia"/>
          <w:kern w:val="2"/>
          <w:szCs w:val="22"/>
        </w:rPr>
        <w:t>济南黄河爆破工程有限责任公司</w:t>
      </w:r>
    </w:p>
    <w:p>
      <w:pPr>
        <w:pStyle w:val="14"/>
        <w:spacing w:after="0" w:line="360" w:lineRule="auto"/>
        <w:ind w:left="0" w:leftChars="0" w:firstLine="480"/>
      </w:pPr>
      <w:r>
        <w:rPr>
          <w:rFonts w:hint="eastAsia"/>
        </w:rPr>
        <w:t>2、采购人的地址：山东省济南市章丘区官庄街道青野村东</w:t>
      </w:r>
    </w:p>
    <w:p>
      <w:pPr>
        <w:spacing w:line="360" w:lineRule="auto"/>
        <w:ind w:firstLine="480" w:firstLineChars="200"/>
      </w:pPr>
      <w:r>
        <w:rPr>
          <w:rFonts w:hint="eastAsia"/>
        </w:rPr>
        <w:t>3</w:t>
      </w:r>
      <w:r>
        <w:t>、</w:t>
      </w:r>
      <w:r>
        <w:rPr>
          <w:rFonts w:hint="eastAsia"/>
        </w:rPr>
        <w:t>谈判</w:t>
      </w:r>
      <w:r>
        <w:t>联系人：</w:t>
      </w:r>
      <w:r>
        <w:rPr>
          <w:rFonts w:hint="eastAsia"/>
        </w:rPr>
        <w:t>史工</w:t>
      </w:r>
      <w:r>
        <w:t>，联系电话：18615514537；</w:t>
      </w:r>
    </w:p>
    <w:p>
      <w:pPr>
        <w:spacing w:line="360" w:lineRule="auto"/>
        <w:ind w:firstLine="480" w:firstLineChars="200"/>
      </w:pPr>
      <w:r>
        <w:rPr>
          <w:rFonts w:hint="eastAsia"/>
        </w:rPr>
        <w:t>4</w:t>
      </w:r>
      <w:r>
        <w:t>、</w:t>
      </w:r>
      <w:r>
        <w:rPr>
          <w:rFonts w:hint="eastAsia"/>
        </w:rPr>
        <w:t>技术</w:t>
      </w:r>
      <w:r>
        <w:t>联系人：</w:t>
      </w:r>
      <w:r>
        <w:rPr>
          <w:rFonts w:hint="eastAsia"/>
          <w:lang w:val="en-US" w:eastAsia="zh-CN"/>
        </w:rPr>
        <w:t>孙</w:t>
      </w:r>
      <w:r>
        <w:rPr>
          <w:rFonts w:hint="eastAsia"/>
        </w:rPr>
        <w:t>工，</w:t>
      </w:r>
      <w:r>
        <w:t>联系电话：</w:t>
      </w:r>
      <w:r>
        <w:rPr>
          <w:rFonts w:hint="eastAsia"/>
        </w:rPr>
        <w:t>1</w:t>
      </w:r>
      <w:r>
        <w:rPr>
          <w:rFonts w:hint="eastAsia"/>
          <w:lang w:val="en-US" w:eastAsia="zh-CN"/>
        </w:rPr>
        <w:t>3001728563</w:t>
      </w:r>
      <w:r>
        <w:rPr>
          <w:rFonts w:hint="eastAsia"/>
        </w:rPr>
        <w:t>；</w:t>
      </w:r>
    </w:p>
    <w:p>
      <w:pPr>
        <w:widowControl w:val="0"/>
        <w:spacing w:line="360" w:lineRule="auto"/>
        <w:rPr>
          <w:rFonts w:cs="Times New Roman"/>
          <w:b/>
          <w:bCs/>
          <w:kern w:val="2"/>
          <w:szCs w:val="22"/>
        </w:rPr>
      </w:pPr>
      <w:r>
        <w:rPr>
          <w:rFonts w:hint="eastAsia" w:cs="Times New Roman"/>
          <w:b/>
          <w:bCs/>
          <w:kern w:val="2"/>
          <w:szCs w:val="22"/>
        </w:rPr>
        <w:t>十一</w:t>
      </w:r>
      <w:r>
        <w:rPr>
          <w:rFonts w:cs="Times New Roman"/>
          <w:b/>
          <w:bCs/>
          <w:kern w:val="2"/>
          <w:szCs w:val="22"/>
        </w:rPr>
        <w:t>、</w:t>
      </w:r>
      <w:r>
        <w:rPr>
          <w:rFonts w:hint="eastAsia" w:cs="Times New Roman"/>
          <w:b/>
          <w:bCs/>
          <w:kern w:val="2"/>
          <w:szCs w:val="22"/>
        </w:rPr>
        <w:t>安全和防疫要求</w:t>
      </w:r>
    </w:p>
    <w:p>
      <w:pPr>
        <w:widowControl w:val="0"/>
        <w:spacing w:line="360" w:lineRule="auto"/>
        <w:ind w:firstLine="480" w:firstLineChars="200"/>
        <w:rPr>
          <w:rFonts w:cs="Times New Roman"/>
          <w:kern w:val="2"/>
          <w:szCs w:val="22"/>
        </w:rPr>
      </w:pPr>
      <w:r>
        <w:rPr>
          <w:rFonts w:hint="eastAsia" w:cs="Times New Roman"/>
          <w:kern w:val="2"/>
          <w:szCs w:val="22"/>
        </w:rPr>
        <w:t>1、参加谈判的</w:t>
      </w:r>
      <w:r>
        <w:rPr>
          <w:rFonts w:cs="Times New Roman"/>
          <w:kern w:val="2"/>
          <w:szCs w:val="22"/>
        </w:rPr>
        <w:t>人员在济钢集团有限公司的一切活动，必须遵守济钢集团有限公司的安全规定。</w:t>
      </w:r>
      <w:r>
        <w:rPr>
          <w:rFonts w:hint="eastAsia" w:cs="Times New Roman"/>
          <w:kern w:val="2"/>
          <w:szCs w:val="22"/>
        </w:rPr>
        <w:t>需要</w:t>
      </w:r>
      <w:r>
        <w:rPr>
          <w:rFonts w:cs="Times New Roman"/>
          <w:kern w:val="2"/>
          <w:szCs w:val="22"/>
        </w:rPr>
        <w:t>现场</w:t>
      </w:r>
      <w:r>
        <w:rPr>
          <w:rFonts w:hint="eastAsia" w:cs="Times New Roman"/>
          <w:kern w:val="2"/>
          <w:szCs w:val="22"/>
        </w:rPr>
        <w:t>踏勘时，</w:t>
      </w:r>
      <w:r>
        <w:rPr>
          <w:rFonts w:cs="Times New Roman"/>
          <w:kern w:val="2"/>
          <w:szCs w:val="22"/>
        </w:rPr>
        <w:t>必须遵守安全管理规定，服从现场</w:t>
      </w:r>
      <w:r>
        <w:rPr>
          <w:rFonts w:hint="eastAsia" w:cs="Times New Roman"/>
          <w:kern w:val="2"/>
          <w:szCs w:val="22"/>
        </w:rPr>
        <w:t>人员</w:t>
      </w:r>
      <w:r>
        <w:rPr>
          <w:rFonts w:cs="Times New Roman"/>
          <w:kern w:val="2"/>
          <w:szCs w:val="22"/>
        </w:rPr>
        <w:t>指挥</w:t>
      </w:r>
      <w:r>
        <w:rPr>
          <w:rFonts w:hint="eastAsia" w:cs="Times New Roman"/>
          <w:kern w:val="2"/>
          <w:szCs w:val="22"/>
        </w:rPr>
        <w:t>。</w:t>
      </w:r>
    </w:p>
    <w:p>
      <w:pPr>
        <w:widowControl w:val="0"/>
        <w:spacing w:line="360" w:lineRule="auto"/>
        <w:ind w:firstLine="480" w:firstLineChars="200"/>
        <w:rPr>
          <w:rFonts w:cs="Times New Roman"/>
          <w:kern w:val="2"/>
          <w:szCs w:val="22"/>
        </w:rPr>
      </w:pPr>
      <w:r>
        <w:rPr>
          <w:rFonts w:hint="eastAsia" w:cs="Times New Roman"/>
          <w:kern w:val="2"/>
          <w:szCs w:val="22"/>
        </w:rPr>
        <w:t>2、</w:t>
      </w:r>
      <w:r>
        <w:rPr>
          <w:rFonts w:hint="eastAsia"/>
          <w:color w:val="000000"/>
        </w:rPr>
        <w:t>疫情期间，谈判时间和谈判方式可能受到影响，我方有权进行调整，并将在合理有限时间在</w:t>
      </w:r>
      <w:r>
        <w:rPr>
          <w:rFonts w:hint="eastAsia"/>
        </w:rPr>
        <w:t>济钢集团有限公司阳光购销平台上</w:t>
      </w:r>
      <w:r>
        <w:rPr>
          <w:rFonts w:hint="eastAsia"/>
          <w:color w:val="000000"/>
        </w:rPr>
        <w:t>发布公告。请</w:t>
      </w:r>
      <w:r>
        <w:rPr>
          <w:rFonts w:hint="eastAsia"/>
        </w:rPr>
        <w:t>有意参加的潜在供应商</w:t>
      </w:r>
      <w:r>
        <w:rPr>
          <w:rFonts w:hint="eastAsia"/>
          <w:color w:val="000000"/>
        </w:rPr>
        <w:t>每日登陆系统，用注册的用户名查找是否有澄清通知等信息，采购人不再单独通知，怠于登陆造成的后果由供应商承担。需要到采购人现场时，</w:t>
      </w:r>
      <w:r>
        <w:rPr>
          <w:rFonts w:hint="eastAsia" w:cs="Times New Roman"/>
          <w:kern w:val="2"/>
          <w:szCs w:val="22"/>
        </w:rPr>
        <w:t>根据疫情防控要求，提前备齐相关证明。</w:t>
      </w:r>
    </w:p>
    <w:p>
      <w:pPr>
        <w:widowControl w:val="0"/>
        <w:spacing w:line="360" w:lineRule="auto"/>
        <w:rPr>
          <w:rFonts w:cs="Times New Roman"/>
          <w:b/>
          <w:bCs/>
          <w:kern w:val="2"/>
          <w:szCs w:val="22"/>
        </w:rPr>
      </w:pPr>
      <w:r>
        <w:rPr>
          <w:rFonts w:hint="eastAsia" w:cs="Times New Roman"/>
          <w:b/>
          <w:bCs/>
          <w:kern w:val="2"/>
          <w:szCs w:val="22"/>
        </w:rPr>
        <w:t>十二、公告中的内容和要求以最终的谈判文件为准。</w:t>
      </w:r>
    </w:p>
    <w:p>
      <w:pPr>
        <w:widowControl w:val="0"/>
        <w:spacing w:line="360" w:lineRule="auto"/>
        <w:ind w:firstLine="3600" w:firstLineChars="1500"/>
        <w:rPr>
          <w:rFonts w:cs="Times New Roman"/>
          <w:kern w:val="2"/>
          <w:szCs w:val="22"/>
        </w:rPr>
      </w:pPr>
    </w:p>
    <w:p>
      <w:pPr>
        <w:widowControl w:val="0"/>
        <w:spacing w:line="360" w:lineRule="auto"/>
        <w:ind w:left="6000" w:leftChars="2100" w:hanging="960" w:hangingChars="400"/>
        <w:rPr>
          <w:rFonts w:cs="Times New Roman"/>
          <w:kern w:val="2"/>
          <w:szCs w:val="22"/>
        </w:rPr>
      </w:pPr>
      <w:r>
        <w:rPr>
          <w:rFonts w:hint="eastAsia" w:cs="Times New Roman"/>
          <w:kern w:val="2"/>
          <w:szCs w:val="22"/>
        </w:rPr>
        <w:t>济南黄河爆破工程有限责任公司</w:t>
      </w:r>
      <w:r>
        <w:rPr>
          <w:rFonts w:hint="eastAsia" w:cs="Times New Roman"/>
          <w:kern w:val="2"/>
          <w:szCs w:val="22"/>
          <w:highlight w:val="yellow"/>
        </w:rPr>
        <w:t>202</w:t>
      </w:r>
      <w:r>
        <w:rPr>
          <w:rFonts w:hint="eastAsia" w:cs="Times New Roman"/>
          <w:kern w:val="2"/>
          <w:szCs w:val="22"/>
          <w:highlight w:val="yellow"/>
          <w:lang w:val="en-US" w:eastAsia="zh-CN"/>
        </w:rPr>
        <w:t>4</w:t>
      </w:r>
      <w:r>
        <w:rPr>
          <w:rFonts w:cs="Times New Roman"/>
          <w:kern w:val="2"/>
          <w:szCs w:val="22"/>
          <w:highlight w:val="yellow"/>
        </w:rPr>
        <w:t>年</w:t>
      </w:r>
      <w:r>
        <w:rPr>
          <w:rFonts w:hint="eastAsia" w:cs="Times New Roman"/>
          <w:kern w:val="2"/>
          <w:szCs w:val="22"/>
          <w:highlight w:val="yellow"/>
          <w:lang w:val="en-US" w:eastAsia="zh-CN"/>
        </w:rPr>
        <w:t>7</w:t>
      </w:r>
      <w:r>
        <w:rPr>
          <w:rFonts w:cs="Times New Roman"/>
          <w:kern w:val="2"/>
          <w:szCs w:val="22"/>
          <w:highlight w:val="yellow"/>
        </w:rPr>
        <w:t>月</w:t>
      </w:r>
      <w:r>
        <w:rPr>
          <w:rFonts w:hint="eastAsia" w:cs="Times New Roman"/>
          <w:kern w:val="2"/>
          <w:szCs w:val="22"/>
          <w:highlight w:val="yellow"/>
          <w:lang w:val="en-US" w:eastAsia="zh-CN"/>
        </w:rPr>
        <w:t>25</w:t>
      </w:r>
      <w:r>
        <w:rPr>
          <w:rFonts w:cs="Times New Roman"/>
          <w:kern w:val="2"/>
          <w:szCs w:val="22"/>
          <w:highlight w:val="yellow"/>
        </w:rPr>
        <w:t>日</w:t>
      </w:r>
    </w:p>
    <w:p>
      <w:pPr>
        <w:widowControl w:val="0"/>
        <w:spacing w:line="360" w:lineRule="auto"/>
        <w:ind w:left="6000" w:leftChars="2100" w:hanging="960" w:hangingChars="400"/>
        <w:rPr>
          <w:rFonts w:cs="Times New Roman"/>
          <w:kern w:val="2"/>
          <w:szCs w:val="22"/>
        </w:rPr>
      </w:pPr>
      <w:r>
        <w:rPr>
          <w:rFonts w:cs="Times New Roman"/>
          <w:kern w:val="2"/>
          <w:szCs w:val="22"/>
        </w:rPr>
        <w:br w:type="page"/>
      </w:r>
    </w:p>
    <w:p>
      <w:pPr>
        <w:widowControl w:val="0"/>
        <w:spacing w:line="360" w:lineRule="auto"/>
        <w:rPr>
          <w:rFonts w:cs="Times New Roman"/>
          <w:kern w:val="2"/>
          <w:szCs w:val="22"/>
        </w:rPr>
      </w:pPr>
    </w:p>
    <w:p>
      <w:pPr>
        <w:pStyle w:val="20"/>
        <w:spacing w:before="156"/>
        <w:rPr>
          <w:b/>
          <w:bCs/>
          <w:sz w:val="36"/>
          <w:szCs w:val="36"/>
        </w:rPr>
      </w:pPr>
      <w:bookmarkStart w:id="1" w:name="_Toc508871671"/>
      <w:r>
        <w:rPr>
          <w:rFonts w:hint="eastAsia"/>
          <w:b/>
          <w:bCs/>
          <w:sz w:val="36"/>
          <w:szCs w:val="36"/>
        </w:rPr>
        <w:t>第二章</w:t>
      </w:r>
      <w:r>
        <w:rPr>
          <w:b/>
          <w:bCs/>
          <w:sz w:val="36"/>
          <w:szCs w:val="36"/>
        </w:rPr>
        <w:t xml:space="preserve">  </w:t>
      </w:r>
      <w:r>
        <w:rPr>
          <w:rFonts w:hint="eastAsia"/>
          <w:b/>
          <w:bCs/>
          <w:sz w:val="36"/>
          <w:szCs w:val="36"/>
        </w:rPr>
        <w:t>谈判须知</w:t>
      </w:r>
      <w:bookmarkEnd w:id="1"/>
    </w:p>
    <w:p>
      <w:pPr>
        <w:pStyle w:val="22"/>
        <w:rPr>
          <w:rStyle w:val="24"/>
          <w:b w:val="0"/>
          <w:bCs w:val="0"/>
        </w:rPr>
      </w:pPr>
      <w:bookmarkStart w:id="2" w:name="_Toc508871672"/>
      <w:r>
        <w:rPr>
          <w:rFonts w:hint="eastAsia" w:eastAsia="宋体"/>
          <w:sz w:val="30"/>
          <w:szCs w:val="30"/>
        </w:rPr>
        <w:t>谈判</w:t>
      </w:r>
      <w:r>
        <w:rPr>
          <w:rStyle w:val="24"/>
          <w:rFonts w:hint="eastAsia"/>
          <w:b w:val="0"/>
          <w:bCs w:val="0"/>
        </w:rPr>
        <w:t>须知前附表</w:t>
      </w:r>
      <w:bookmarkEnd w:id="2"/>
    </w:p>
    <w:tbl>
      <w:tblPr>
        <w:tblStyle w:val="1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61"/>
        <w:gridCol w:w="714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59" w:type="dxa"/>
            <w:vAlign w:val="center"/>
          </w:tcPr>
          <w:p>
            <w:pPr>
              <w:spacing w:line="400" w:lineRule="exact"/>
              <w:jc w:val="center"/>
              <w:rPr>
                <w:b/>
              </w:rPr>
            </w:pPr>
            <w:r>
              <w:rPr>
                <w:rFonts w:hint="eastAsia"/>
                <w:b/>
              </w:rPr>
              <w:t>条款号</w:t>
            </w:r>
          </w:p>
        </w:tc>
        <w:tc>
          <w:tcPr>
            <w:tcW w:w="1661" w:type="dxa"/>
            <w:vAlign w:val="center"/>
          </w:tcPr>
          <w:p>
            <w:pPr>
              <w:spacing w:line="400" w:lineRule="exact"/>
              <w:jc w:val="center"/>
              <w:rPr>
                <w:b/>
              </w:rPr>
            </w:pPr>
            <w:r>
              <w:rPr>
                <w:rFonts w:hint="eastAsia"/>
                <w:b/>
              </w:rPr>
              <w:t>条款名称</w:t>
            </w:r>
          </w:p>
        </w:tc>
        <w:tc>
          <w:tcPr>
            <w:tcW w:w="7159" w:type="dxa"/>
            <w:gridSpan w:val="2"/>
            <w:vAlign w:val="center"/>
          </w:tcPr>
          <w:p>
            <w:pPr>
              <w:spacing w:line="340" w:lineRule="exact"/>
              <w:jc w:val="center"/>
              <w:rPr>
                <w:b/>
              </w:rPr>
            </w:pPr>
            <w:r>
              <w:rPr>
                <w:rFonts w:hint="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pPr>
            <w:r>
              <w:rPr>
                <w:rFonts w:hint="eastAsia"/>
              </w:rPr>
              <w:t>1.1.1</w:t>
            </w:r>
          </w:p>
        </w:tc>
        <w:tc>
          <w:tcPr>
            <w:tcW w:w="1661" w:type="dxa"/>
            <w:vAlign w:val="center"/>
          </w:tcPr>
          <w:p>
            <w:pPr>
              <w:jc w:val="center"/>
            </w:pPr>
            <w:r>
              <w:rPr>
                <w:rFonts w:hint="eastAsia"/>
              </w:rPr>
              <w:t>采购人</w:t>
            </w:r>
          </w:p>
        </w:tc>
        <w:tc>
          <w:tcPr>
            <w:tcW w:w="7159" w:type="dxa"/>
            <w:gridSpan w:val="2"/>
            <w:vAlign w:val="center"/>
          </w:tcPr>
          <w:p>
            <w:pPr>
              <w:spacing w:line="340" w:lineRule="exact"/>
            </w:pPr>
            <w:r>
              <w:rPr>
                <w:rFonts w:hint="eastAsia"/>
              </w:rPr>
              <w:t>济南黄河爆破工程有限责任公司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pPr>
            <w:r>
              <w:rPr>
                <w:rFonts w:hint="eastAsia"/>
              </w:rPr>
              <w:t>1.1.2</w:t>
            </w:r>
          </w:p>
        </w:tc>
        <w:tc>
          <w:tcPr>
            <w:tcW w:w="1661" w:type="dxa"/>
            <w:vAlign w:val="center"/>
          </w:tcPr>
          <w:p>
            <w:pPr>
              <w:jc w:val="center"/>
            </w:pPr>
            <w:r>
              <w:rPr>
                <w:rFonts w:hint="eastAsia"/>
              </w:rPr>
              <w:t>项目名称</w:t>
            </w:r>
          </w:p>
        </w:tc>
        <w:tc>
          <w:tcPr>
            <w:tcW w:w="7159" w:type="dxa"/>
            <w:gridSpan w:val="2"/>
            <w:vAlign w:val="center"/>
          </w:tcPr>
          <w:p>
            <w:pPr>
              <w:pStyle w:val="25"/>
              <w:ind w:firstLine="0" w:firstLineChars="0"/>
              <w:rPr>
                <w:rFonts w:hint="default" w:eastAsia="宋体"/>
                <w:sz w:val="24"/>
                <w:lang w:val="en-US" w:eastAsia="zh-CN"/>
              </w:rPr>
            </w:pPr>
            <w:r>
              <w:rPr>
                <w:rFonts w:hint="eastAsia"/>
                <w:sz w:val="24"/>
                <w:lang w:val="en-US" w:eastAsia="zh-CN"/>
              </w:rPr>
              <w:t>滚筒筛设备隐患整改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exact"/>
          <w:jc w:val="center"/>
        </w:trPr>
        <w:tc>
          <w:tcPr>
            <w:tcW w:w="959" w:type="dxa"/>
            <w:vAlign w:val="center"/>
          </w:tcPr>
          <w:p>
            <w:pPr>
              <w:jc w:val="center"/>
            </w:pPr>
            <w:r>
              <w:rPr>
                <w:rFonts w:hint="eastAsia"/>
              </w:rPr>
              <w:t>1.1.3</w:t>
            </w:r>
          </w:p>
        </w:tc>
        <w:tc>
          <w:tcPr>
            <w:tcW w:w="1661" w:type="dxa"/>
            <w:vAlign w:val="center"/>
          </w:tcPr>
          <w:p>
            <w:pPr>
              <w:spacing w:line="240" w:lineRule="atLeast"/>
              <w:jc w:val="center"/>
            </w:pPr>
            <w:r>
              <w:rPr>
                <w:rFonts w:hint="eastAsia"/>
              </w:rPr>
              <w:t>项目概况</w:t>
            </w:r>
          </w:p>
        </w:tc>
        <w:tc>
          <w:tcPr>
            <w:tcW w:w="7159" w:type="dxa"/>
            <w:gridSpan w:val="2"/>
            <w:vAlign w:val="center"/>
          </w:tcPr>
          <w:p>
            <w:pPr>
              <w:spacing w:line="360" w:lineRule="auto"/>
              <w:rPr>
                <w:rFonts w:hint="eastAsia"/>
                <w:color w:val="000000"/>
                <w:lang w:val="en-US" w:eastAsia="zh-CN"/>
              </w:rPr>
            </w:pPr>
            <w:r>
              <w:rPr>
                <w:rFonts w:hint="eastAsia"/>
                <w:color w:val="000000"/>
                <w:lang w:val="en-US" w:eastAsia="zh-CN"/>
              </w:rPr>
              <w:t>主要施工内容：安装更换滚筒筛设备损坏零部件及支撑结构。</w:t>
            </w:r>
          </w:p>
          <w:p>
            <w:pPr>
              <w:spacing w:line="360" w:lineRule="auto"/>
              <w:ind w:firstLine="480" w:firstLineChars="200"/>
              <w:rPr>
                <w:rFonts w:hint="eastAsia" w:cs="仿宋"/>
                <w:bCs/>
                <w:lang w:val="en-US" w:eastAsia="zh-CN"/>
              </w:rPr>
            </w:pPr>
            <w:r>
              <w:rPr>
                <w:rFonts w:hint="eastAsia" w:cs="仿宋"/>
                <w:bCs/>
              </w:rPr>
              <w:t>安装更换滚筒筛设备损坏零部件及支撑结构</w:t>
            </w:r>
            <w:r>
              <w:rPr>
                <w:rFonts w:hint="eastAsia" w:cs="仿宋"/>
                <w:bCs/>
                <w:lang w:val="en-US" w:eastAsia="zh-CN"/>
              </w:rPr>
              <w:t>包括</w:t>
            </w:r>
            <w:r>
              <w:rPr>
                <w:rFonts w:hint="eastAsia" w:cs="仿宋"/>
                <w:bCs/>
                <w:lang w:eastAsia="zh-CN"/>
              </w:rPr>
              <w:t>：</w:t>
            </w:r>
            <w:r>
              <w:rPr>
                <w:rFonts w:hint="eastAsia" w:cs="仿宋"/>
                <w:bCs/>
                <w:lang w:val="en-US" w:eastAsia="zh-CN"/>
              </w:rPr>
              <w:t>制作安装上料口1个，制作安装支撑腿上下底板各4个，制作安装4个支撑腿及横撑，更换损坏件（无缝钢管），制作安装所用辅材。</w:t>
            </w:r>
          </w:p>
          <w:p>
            <w:pPr>
              <w:spacing w:line="36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整改方案的确定</w:t>
            </w:r>
          </w:p>
          <w:p>
            <w:pPr>
              <w:numPr>
                <w:ilvl w:val="0"/>
                <w:numId w:val="0"/>
              </w:numPr>
              <w:spacing w:line="360" w:lineRule="auto"/>
              <w:rPr>
                <w:rFonts w:hint="eastAsia" w:ascii="宋体" w:hAnsi="宋体" w:eastAsia="宋体" w:cs="宋体"/>
                <w:color w:val="000000"/>
                <w:lang w:val="en-US" w:eastAsia="zh-CN"/>
              </w:rPr>
            </w:pPr>
            <w:r>
              <w:rPr>
                <w:rFonts w:hint="eastAsia" w:cs="宋体"/>
                <w:color w:val="000000"/>
                <w:lang w:val="en-US" w:eastAsia="zh-CN"/>
              </w:rPr>
              <w:t>1.</w:t>
            </w:r>
            <w:r>
              <w:rPr>
                <w:rFonts w:hint="eastAsia" w:ascii="宋体" w:hAnsi="宋体" w:eastAsia="宋体" w:cs="宋体"/>
                <w:color w:val="000000"/>
                <w:lang w:val="en-US" w:eastAsia="zh-CN"/>
              </w:rPr>
              <w:t>投标人考察现场</w:t>
            </w:r>
            <w:r>
              <w:rPr>
                <w:rFonts w:hint="eastAsia" w:cs="宋体"/>
                <w:color w:val="000000"/>
                <w:lang w:val="en-US" w:eastAsia="zh-CN"/>
              </w:rPr>
              <w:t>后</w:t>
            </w:r>
            <w:r>
              <w:rPr>
                <w:rFonts w:hint="eastAsia" w:ascii="宋体" w:hAnsi="宋体" w:eastAsia="宋体" w:cs="宋体"/>
                <w:color w:val="000000"/>
                <w:lang w:val="en-US" w:eastAsia="zh-CN"/>
              </w:rPr>
              <w:t>可自行设计整改方案编制报价格式参与报价。</w:t>
            </w:r>
          </w:p>
          <w:p>
            <w:pPr>
              <w:numPr>
                <w:ilvl w:val="0"/>
                <w:numId w:val="0"/>
              </w:numPr>
              <w:spacing w:line="360" w:lineRule="auto"/>
              <w:rPr>
                <w:rFonts w:hint="default" w:ascii="宋体" w:hAnsi="宋体" w:eastAsia="宋体" w:cs="宋体"/>
                <w:color w:val="000000"/>
                <w:lang w:val="en-US" w:eastAsia="zh-CN"/>
              </w:rPr>
            </w:pPr>
            <w:r>
              <w:rPr>
                <w:rFonts w:hint="eastAsia" w:cs="宋体"/>
                <w:color w:val="000000"/>
                <w:lang w:val="en-US" w:eastAsia="zh-CN"/>
              </w:rPr>
              <w:t>2.</w:t>
            </w:r>
            <w:r>
              <w:rPr>
                <w:rFonts w:hint="eastAsia" w:ascii="宋体" w:hAnsi="宋体" w:eastAsia="宋体" w:cs="宋体"/>
                <w:color w:val="000000"/>
                <w:lang w:val="en-US" w:eastAsia="zh-CN"/>
              </w:rPr>
              <w:t>投标人不考察现场的参照招标人提供报价格式参与报价。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959" w:type="dxa"/>
            <w:vAlign w:val="center"/>
          </w:tcPr>
          <w:p>
            <w:pPr>
              <w:jc w:val="center"/>
            </w:pPr>
            <w:r>
              <w:rPr>
                <w:rFonts w:hint="eastAsia"/>
              </w:rPr>
              <w:t>1.1.4</w:t>
            </w:r>
          </w:p>
        </w:tc>
        <w:tc>
          <w:tcPr>
            <w:tcW w:w="1661" w:type="dxa"/>
            <w:vAlign w:val="center"/>
          </w:tcPr>
          <w:p>
            <w:pPr>
              <w:spacing w:line="240" w:lineRule="atLeast"/>
              <w:jc w:val="center"/>
            </w:pPr>
            <w:r>
              <w:rPr>
                <w:rFonts w:hint="eastAsia"/>
              </w:rPr>
              <w:t>项目地点</w:t>
            </w:r>
          </w:p>
        </w:tc>
        <w:tc>
          <w:tcPr>
            <w:tcW w:w="7159" w:type="dxa"/>
            <w:gridSpan w:val="2"/>
            <w:vAlign w:val="center"/>
          </w:tcPr>
          <w:p>
            <w:pPr>
              <w:spacing w:line="340" w:lineRule="exact"/>
              <w:rPr>
                <w:rFonts w:hint="default" w:eastAsia="宋体"/>
                <w:lang w:val="en-US" w:eastAsia="zh-CN"/>
              </w:rPr>
            </w:pPr>
            <w:r>
              <w:rPr>
                <w:rFonts w:hint="eastAsia"/>
              </w:rPr>
              <w:t>山东省济南市章丘区官庄街道</w:t>
            </w:r>
            <w:r>
              <w:rPr>
                <w:rFonts w:hint="eastAsia"/>
                <w:lang w:val="en-US" w:eastAsia="zh-CN"/>
              </w:rPr>
              <w:t>长申地村南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959" w:type="dxa"/>
            <w:vAlign w:val="center"/>
          </w:tcPr>
          <w:p>
            <w:pPr>
              <w:jc w:val="center"/>
            </w:pPr>
            <w:r>
              <w:rPr>
                <w:rFonts w:hint="eastAsia"/>
              </w:rPr>
              <w:t>1.2.1</w:t>
            </w:r>
          </w:p>
        </w:tc>
        <w:tc>
          <w:tcPr>
            <w:tcW w:w="1661" w:type="dxa"/>
            <w:vAlign w:val="center"/>
          </w:tcPr>
          <w:p>
            <w:pPr>
              <w:spacing w:line="240" w:lineRule="atLeast"/>
              <w:jc w:val="center"/>
            </w:pPr>
            <w:r>
              <w:rPr>
                <w:rFonts w:hint="eastAsia"/>
              </w:rPr>
              <w:t>资金来源</w:t>
            </w:r>
          </w:p>
        </w:tc>
        <w:tc>
          <w:tcPr>
            <w:tcW w:w="7159" w:type="dxa"/>
            <w:gridSpan w:val="2"/>
            <w:vAlign w:val="center"/>
          </w:tcPr>
          <w:p>
            <w:pPr>
              <w:spacing w:line="340" w:lineRule="exact"/>
            </w:pPr>
            <w:r>
              <w:rPr>
                <w:rFonts w:hint="eastAsia"/>
              </w:rPr>
              <w:t>自有资金</w:t>
            </w:r>
          </w:p>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959" w:type="dxa"/>
            <w:vAlign w:val="center"/>
          </w:tcPr>
          <w:p>
            <w:pPr>
              <w:jc w:val="center"/>
            </w:pPr>
            <w:r>
              <w:rPr>
                <w:rFonts w:hint="eastAsia"/>
              </w:rPr>
              <w:t>1.2.2</w:t>
            </w:r>
          </w:p>
        </w:tc>
        <w:tc>
          <w:tcPr>
            <w:tcW w:w="1661" w:type="dxa"/>
            <w:vAlign w:val="center"/>
          </w:tcPr>
          <w:p>
            <w:pPr>
              <w:spacing w:line="240" w:lineRule="atLeast"/>
              <w:jc w:val="center"/>
            </w:pPr>
            <w:r>
              <w:rPr>
                <w:rFonts w:hint="eastAsia"/>
              </w:rPr>
              <w:t>采购方式</w:t>
            </w:r>
          </w:p>
        </w:tc>
        <w:tc>
          <w:tcPr>
            <w:tcW w:w="7159" w:type="dxa"/>
            <w:gridSpan w:val="2"/>
            <w:vAlign w:val="center"/>
          </w:tcPr>
          <w:p>
            <w:pPr>
              <w:spacing w:line="340" w:lineRule="exact"/>
            </w:pPr>
            <w:r>
              <w:rPr>
                <w:rFonts w:hint="eastAsia"/>
              </w:rPr>
              <w:t>竞争性谈判，资格后审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59" w:type="dxa"/>
            <w:vAlign w:val="center"/>
          </w:tcPr>
          <w:p>
            <w:pPr>
              <w:jc w:val="center"/>
            </w:pPr>
            <w:r>
              <w:rPr>
                <w:rFonts w:hint="eastAsia"/>
              </w:rPr>
              <w:t>1.3.1</w:t>
            </w:r>
          </w:p>
        </w:tc>
        <w:tc>
          <w:tcPr>
            <w:tcW w:w="1661" w:type="dxa"/>
            <w:vAlign w:val="center"/>
          </w:tcPr>
          <w:p>
            <w:pPr>
              <w:spacing w:line="360" w:lineRule="exact"/>
              <w:jc w:val="center"/>
            </w:pPr>
            <w:r>
              <w:rPr>
                <w:rFonts w:hint="eastAsia"/>
              </w:rPr>
              <w:t>采购范围</w:t>
            </w:r>
          </w:p>
        </w:tc>
        <w:tc>
          <w:tcPr>
            <w:tcW w:w="7159" w:type="dxa"/>
            <w:gridSpan w:val="2"/>
            <w:vAlign w:val="center"/>
          </w:tcPr>
          <w:p>
            <w:pPr>
              <w:spacing w:line="360" w:lineRule="auto"/>
            </w:pPr>
            <w:r>
              <w:rPr>
                <w:rFonts w:hint="eastAsia"/>
              </w:rPr>
              <w:t>（详见第五章技术部分）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959" w:type="dxa"/>
            <w:vAlign w:val="center"/>
          </w:tcPr>
          <w:p>
            <w:pPr>
              <w:spacing w:line="240" w:lineRule="atLeast"/>
              <w:jc w:val="center"/>
            </w:pPr>
            <w:r>
              <w:rPr>
                <w:rFonts w:hint="eastAsia"/>
              </w:rPr>
              <w:t>1.3.2</w:t>
            </w:r>
          </w:p>
        </w:tc>
        <w:tc>
          <w:tcPr>
            <w:tcW w:w="1661" w:type="dxa"/>
            <w:vAlign w:val="center"/>
          </w:tcPr>
          <w:p>
            <w:pPr>
              <w:spacing w:line="240" w:lineRule="atLeast"/>
              <w:jc w:val="center"/>
            </w:pPr>
            <w:r>
              <w:rPr>
                <w:rFonts w:hint="eastAsia"/>
              </w:rPr>
              <w:t>供货周期</w:t>
            </w:r>
          </w:p>
        </w:tc>
        <w:tc>
          <w:tcPr>
            <w:tcW w:w="7159" w:type="dxa"/>
            <w:gridSpan w:val="2"/>
            <w:vAlign w:val="center"/>
          </w:tcPr>
          <w:p>
            <w:pPr>
              <w:spacing w:line="340" w:lineRule="exact"/>
              <w:ind w:firstLine="240" w:firstLineChars="100"/>
            </w:pPr>
            <w:r>
              <w:rPr>
                <w:rFonts w:hint="eastAsia"/>
                <w:lang w:val="en-US" w:eastAsia="zh-CN"/>
              </w:rPr>
              <w:t>10</w:t>
            </w:r>
            <w:r>
              <w:rPr>
                <w:rFonts w:hint="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959" w:type="dxa"/>
            <w:vAlign w:val="center"/>
          </w:tcPr>
          <w:p>
            <w:pPr>
              <w:spacing w:line="240" w:lineRule="atLeast"/>
              <w:jc w:val="center"/>
            </w:pPr>
            <w:r>
              <w:rPr>
                <w:rFonts w:hint="eastAsia"/>
              </w:rPr>
              <w:t>1.3.3</w:t>
            </w:r>
          </w:p>
        </w:tc>
        <w:tc>
          <w:tcPr>
            <w:tcW w:w="1661" w:type="dxa"/>
            <w:vAlign w:val="center"/>
          </w:tcPr>
          <w:p>
            <w:pPr>
              <w:spacing w:line="240" w:lineRule="atLeast"/>
              <w:jc w:val="center"/>
            </w:pPr>
            <w:r>
              <w:rPr>
                <w:rFonts w:hint="eastAsia"/>
              </w:rPr>
              <w:t>交货地点</w:t>
            </w:r>
          </w:p>
        </w:tc>
        <w:tc>
          <w:tcPr>
            <w:tcW w:w="7159" w:type="dxa"/>
            <w:gridSpan w:val="2"/>
            <w:vAlign w:val="center"/>
          </w:tcPr>
          <w:p>
            <w:pPr>
              <w:spacing w:line="340" w:lineRule="exact"/>
              <w:rPr>
                <w:rFonts w:hint="default" w:eastAsia="宋体"/>
                <w:b/>
                <w:lang w:val="en-US" w:eastAsia="zh-CN"/>
              </w:rPr>
            </w:pPr>
            <w:r>
              <w:rPr>
                <w:rFonts w:hint="eastAsia"/>
              </w:rPr>
              <w:t>山东省济南市章丘区官庄街道</w:t>
            </w:r>
            <w:r>
              <w:rPr>
                <w:rFonts w:hint="eastAsia"/>
                <w:lang w:val="en-US" w:eastAsia="zh-CN"/>
              </w:rPr>
              <w:t>长申地村南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959" w:type="dxa"/>
            <w:vAlign w:val="center"/>
          </w:tcPr>
          <w:p>
            <w:pPr>
              <w:spacing w:line="240" w:lineRule="atLeast"/>
              <w:jc w:val="center"/>
            </w:pPr>
            <w:r>
              <w:rPr>
                <w:rFonts w:hint="eastAsia"/>
              </w:rPr>
              <w:t>1.3.4</w:t>
            </w:r>
          </w:p>
        </w:tc>
        <w:tc>
          <w:tcPr>
            <w:tcW w:w="1661" w:type="dxa"/>
            <w:vAlign w:val="center"/>
          </w:tcPr>
          <w:p>
            <w:pPr>
              <w:spacing w:line="240" w:lineRule="atLeast"/>
              <w:jc w:val="center"/>
              <w:rPr>
                <w:b/>
              </w:rPr>
            </w:pPr>
            <w:r>
              <w:rPr>
                <w:rFonts w:hint="eastAsia"/>
              </w:rPr>
              <w:t>质保期</w:t>
            </w:r>
          </w:p>
        </w:tc>
        <w:tc>
          <w:tcPr>
            <w:tcW w:w="7159" w:type="dxa"/>
            <w:gridSpan w:val="2"/>
            <w:vAlign w:val="center"/>
          </w:tcPr>
          <w:p>
            <w:pPr>
              <w:spacing w:line="340" w:lineRule="exact"/>
              <w:rPr>
                <w:b/>
              </w:rPr>
            </w:pPr>
            <w:r>
              <w:rPr>
                <w:rFonts w:hint="eastAsia"/>
                <w:b/>
                <w:lang w:val="en-US" w:eastAsia="zh-CN"/>
              </w:rPr>
              <w:t>一</w:t>
            </w:r>
            <w:r>
              <w:rPr>
                <w:rFonts w:hint="eastAsia"/>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9" w:type="dxa"/>
            <w:vAlign w:val="center"/>
          </w:tcPr>
          <w:p>
            <w:pPr>
              <w:jc w:val="center"/>
            </w:pPr>
            <w:r>
              <w:rPr>
                <w:rFonts w:hint="eastAsia"/>
              </w:rPr>
              <w:t>1.4.1</w:t>
            </w:r>
          </w:p>
        </w:tc>
        <w:tc>
          <w:tcPr>
            <w:tcW w:w="1661" w:type="dxa"/>
            <w:vAlign w:val="center"/>
          </w:tcPr>
          <w:p>
            <w:pPr>
              <w:spacing w:line="360" w:lineRule="exact"/>
              <w:jc w:val="center"/>
            </w:pPr>
            <w:r>
              <w:rPr>
                <w:rFonts w:hint="eastAsia"/>
              </w:rPr>
              <w:t xml:space="preserve">供应商的资格要求 </w:t>
            </w:r>
          </w:p>
        </w:tc>
        <w:tc>
          <w:tcPr>
            <w:tcW w:w="7159" w:type="dxa"/>
            <w:gridSpan w:val="2"/>
            <w:vAlign w:val="center"/>
          </w:tcPr>
          <w:p>
            <w:pPr>
              <w:spacing w:line="340" w:lineRule="exact"/>
            </w:pPr>
            <w:r>
              <w:rPr>
                <w:rFonts w:hint="eastAsia"/>
                <w:color w:val="000000"/>
              </w:rPr>
              <w:t>依法成立，具有法人资格、一般纳税人资格的施工企业；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59" w:type="dxa"/>
            <w:vAlign w:val="center"/>
          </w:tcPr>
          <w:p>
            <w:pPr>
              <w:spacing w:line="240" w:lineRule="atLeast"/>
              <w:jc w:val="center"/>
            </w:pPr>
            <w:r>
              <w:rPr>
                <w:rFonts w:hint="eastAsia"/>
              </w:rPr>
              <w:t>1.4.2</w:t>
            </w:r>
          </w:p>
        </w:tc>
        <w:tc>
          <w:tcPr>
            <w:tcW w:w="1661" w:type="dxa"/>
            <w:vAlign w:val="center"/>
          </w:tcPr>
          <w:p>
            <w:pPr>
              <w:spacing w:line="240" w:lineRule="atLeast"/>
              <w:jc w:val="center"/>
            </w:pPr>
            <w:r>
              <w:rPr>
                <w:rFonts w:hint="eastAsia"/>
              </w:rPr>
              <w:t>是否接受联合体</w:t>
            </w:r>
          </w:p>
        </w:tc>
        <w:tc>
          <w:tcPr>
            <w:tcW w:w="7159" w:type="dxa"/>
            <w:gridSpan w:val="2"/>
            <w:vAlign w:val="center"/>
          </w:tcPr>
          <w:p>
            <w:pPr>
              <w:spacing w:line="340" w:lineRule="exact"/>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59" w:type="dxa"/>
            <w:vAlign w:val="center"/>
          </w:tcPr>
          <w:p>
            <w:pPr>
              <w:spacing w:line="240" w:lineRule="atLeast"/>
              <w:jc w:val="center"/>
            </w:pPr>
            <w:r>
              <w:rPr>
                <w:rFonts w:hint="eastAsia"/>
              </w:rPr>
              <w:t>1.9</w:t>
            </w:r>
          </w:p>
        </w:tc>
        <w:tc>
          <w:tcPr>
            <w:tcW w:w="1661" w:type="dxa"/>
            <w:vAlign w:val="center"/>
          </w:tcPr>
          <w:p>
            <w:pPr>
              <w:spacing w:line="240" w:lineRule="atLeast"/>
              <w:jc w:val="center"/>
            </w:pPr>
            <w:r>
              <w:rPr>
                <w:rFonts w:hint="eastAsia"/>
              </w:rPr>
              <w:t>是否组织现场踏勘</w:t>
            </w:r>
          </w:p>
        </w:tc>
        <w:tc>
          <w:tcPr>
            <w:tcW w:w="7159" w:type="dxa"/>
            <w:gridSpan w:val="2"/>
            <w:vAlign w:val="center"/>
          </w:tcPr>
          <w:p>
            <w:pPr>
              <w:spacing w:line="340" w:lineRule="exact"/>
              <w:rPr>
                <w:rFonts w:hint="default" w:eastAsia="宋体"/>
                <w:lang w:val="en-US" w:eastAsia="zh-CN"/>
              </w:rPr>
            </w:pPr>
            <w:r>
              <w:rPr>
                <w:rFonts w:hint="eastAsia"/>
              </w:rPr>
              <w:t>不统一组织现场踏勘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spacing w:line="240" w:lineRule="atLeast"/>
              <w:jc w:val="center"/>
            </w:pPr>
            <w:r>
              <w:rPr>
                <w:rFonts w:hint="eastAsia"/>
              </w:rPr>
              <w:t>1.10</w:t>
            </w:r>
          </w:p>
        </w:tc>
        <w:tc>
          <w:tcPr>
            <w:tcW w:w="1661" w:type="dxa"/>
            <w:vAlign w:val="center"/>
          </w:tcPr>
          <w:p>
            <w:pPr>
              <w:spacing w:line="240" w:lineRule="atLeast"/>
              <w:jc w:val="center"/>
            </w:pPr>
            <w:r>
              <w:rPr>
                <w:rFonts w:hint="eastAsia"/>
              </w:rPr>
              <w:t>谈判预备会</w:t>
            </w:r>
          </w:p>
        </w:tc>
        <w:tc>
          <w:tcPr>
            <w:tcW w:w="7159" w:type="dxa"/>
            <w:gridSpan w:val="2"/>
            <w:vAlign w:val="center"/>
          </w:tcPr>
          <w:p>
            <w:pPr>
              <w:spacing w:line="340" w:lineRule="exact"/>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959" w:type="dxa"/>
            <w:vAlign w:val="center"/>
          </w:tcPr>
          <w:p>
            <w:pPr>
              <w:jc w:val="center"/>
            </w:pPr>
            <w:r>
              <w:rPr>
                <w:rFonts w:hint="eastAsia"/>
              </w:rPr>
              <w:t>2.1.1</w:t>
            </w:r>
          </w:p>
        </w:tc>
        <w:tc>
          <w:tcPr>
            <w:tcW w:w="1661" w:type="dxa"/>
            <w:vAlign w:val="center"/>
          </w:tcPr>
          <w:p>
            <w:pPr>
              <w:spacing w:line="360" w:lineRule="exact"/>
              <w:jc w:val="center"/>
            </w:pPr>
            <w:r>
              <w:rPr>
                <w:rFonts w:hint="eastAsia"/>
              </w:rPr>
              <w:t>谈判文件的发布</w:t>
            </w:r>
          </w:p>
        </w:tc>
        <w:tc>
          <w:tcPr>
            <w:tcW w:w="7159" w:type="dxa"/>
            <w:gridSpan w:val="2"/>
            <w:vAlign w:val="center"/>
          </w:tcPr>
          <w:p>
            <w:pPr>
              <w:spacing w:line="340" w:lineRule="exact"/>
            </w:pPr>
            <w:r>
              <w:rPr>
                <w:rFonts w:hint="eastAsia"/>
              </w:rPr>
              <w:t>本谈判文件在济钢集团有限公司阳光购销平台（网址：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上发布。除上述媒介以外的媒介转载或发布与本次谈判相关信息的，采购人不承担任何责任并保留追究相关方责任的权利。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59" w:type="dxa"/>
            <w:vAlign w:val="center"/>
          </w:tcPr>
          <w:p>
            <w:pPr>
              <w:jc w:val="center"/>
            </w:pPr>
            <w:r>
              <w:rPr>
                <w:rFonts w:hint="eastAsia"/>
              </w:rPr>
              <w:t>2.2.2</w:t>
            </w:r>
          </w:p>
        </w:tc>
        <w:tc>
          <w:tcPr>
            <w:tcW w:w="1661" w:type="dxa"/>
            <w:vAlign w:val="center"/>
          </w:tcPr>
          <w:p>
            <w:pPr>
              <w:spacing w:line="442" w:lineRule="exact"/>
              <w:jc w:val="center"/>
            </w:pPr>
            <w:r>
              <w:rPr>
                <w:rFonts w:hint="eastAsia"/>
              </w:rPr>
              <w:t>谈判</w:t>
            </w:r>
            <w:r>
              <w:t>文件的</w:t>
            </w:r>
            <w:r>
              <w:rPr>
                <w:rFonts w:hint="eastAsia"/>
              </w:rPr>
              <w:t>澄清</w:t>
            </w:r>
          </w:p>
        </w:tc>
        <w:tc>
          <w:tcPr>
            <w:tcW w:w="7159" w:type="dxa"/>
            <w:gridSpan w:val="2"/>
            <w:tcBorders>
              <w:bottom w:val="single" w:color="auto" w:sz="4" w:space="0"/>
            </w:tcBorders>
            <w:vAlign w:val="center"/>
          </w:tcPr>
          <w:p>
            <w:pPr>
              <w:spacing w:line="398" w:lineRule="exact"/>
            </w:pPr>
            <w:r>
              <w:rPr>
                <w:rFonts w:hint="eastAsia"/>
              </w:rPr>
              <w:t>谈判</w:t>
            </w:r>
            <w:r>
              <w:t>文件</w:t>
            </w:r>
            <w:r>
              <w:rPr>
                <w:rFonts w:hint="eastAsia"/>
              </w:rPr>
              <w:t>澄清的</w:t>
            </w:r>
            <w:r>
              <w:t>截止时间</w:t>
            </w:r>
            <w:r>
              <w:rPr>
                <w:rFonts w:hint="eastAsia"/>
              </w:rPr>
              <w:t>为谈判开始前</w:t>
            </w:r>
            <w:r>
              <w:rPr>
                <w:rFonts w:hint="eastAsia"/>
                <w:lang w:val="en-US" w:eastAsia="zh-CN"/>
              </w:rPr>
              <w:t>2</w:t>
            </w:r>
            <w:r>
              <w:t>日</w:t>
            </w:r>
            <w:r>
              <w:rPr>
                <w:rFonts w:hint="eastAsia"/>
              </w:rPr>
              <w:t>，在济钢集团有限公司阳光购销平台（网址：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59" w:type="dxa"/>
            <w:vAlign w:val="center"/>
          </w:tcPr>
          <w:p>
            <w:pPr>
              <w:jc w:val="center"/>
            </w:pPr>
            <w:r>
              <w:rPr>
                <w:rFonts w:hint="eastAsia"/>
              </w:rPr>
              <w:t>2.3</w:t>
            </w:r>
          </w:p>
        </w:tc>
        <w:tc>
          <w:tcPr>
            <w:tcW w:w="1661" w:type="dxa"/>
            <w:vAlign w:val="center"/>
          </w:tcPr>
          <w:p>
            <w:pPr>
              <w:spacing w:line="360" w:lineRule="exact"/>
              <w:jc w:val="center"/>
            </w:pPr>
            <w:r>
              <w:rPr>
                <w:rFonts w:hint="eastAsia"/>
              </w:rPr>
              <w:t>谈判</w:t>
            </w:r>
            <w:r>
              <w:t>文件</w:t>
            </w:r>
            <w:r>
              <w:rPr>
                <w:rFonts w:hint="eastAsia"/>
              </w:rPr>
              <w:t>的</w:t>
            </w:r>
            <w:r>
              <w:t>修改</w:t>
            </w:r>
          </w:p>
        </w:tc>
        <w:tc>
          <w:tcPr>
            <w:tcW w:w="7159" w:type="dxa"/>
            <w:gridSpan w:val="2"/>
            <w:tcBorders>
              <w:bottom w:val="single" w:color="auto" w:sz="4" w:space="0"/>
            </w:tcBorders>
            <w:vAlign w:val="center"/>
          </w:tcPr>
          <w:p>
            <w:pPr>
              <w:spacing w:line="398" w:lineRule="exact"/>
            </w:pPr>
            <w:r>
              <w:rPr>
                <w:rFonts w:hint="eastAsia"/>
              </w:rPr>
              <w:t>谈判文件修改的截止时间为谈判开始前</w:t>
            </w:r>
            <w:r>
              <w:rPr>
                <w:rFonts w:hint="eastAsia"/>
                <w:lang w:val="en-US" w:eastAsia="zh-CN"/>
              </w:rPr>
              <w:t>2</w:t>
            </w:r>
            <w:r>
              <w:rPr>
                <w:rFonts w:hint="eastAsia"/>
              </w:rPr>
              <w:t>日，在济钢集团有限公司阳光购销平台（网址：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上发布。采购人对谈判文件修改距谈判时间不足 天的，相应延长谈判开始时间。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9" w:type="dxa"/>
            <w:vAlign w:val="center"/>
          </w:tcPr>
          <w:p>
            <w:pPr>
              <w:jc w:val="center"/>
            </w:pPr>
            <w:r>
              <w:rPr>
                <w:rFonts w:hint="eastAsia"/>
              </w:rPr>
              <w:t>2.1.5</w:t>
            </w:r>
          </w:p>
        </w:tc>
        <w:tc>
          <w:tcPr>
            <w:tcW w:w="1661" w:type="dxa"/>
            <w:vAlign w:val="center"/>
          </w:tcPr>
          <w:p>
            <w:pPr>
              <w:spacing w:line="360" w:lineRule="exact"/>
            </w:pPr>
            <w:r>
              <w:rPr>
                <w:rFonts w:hint="eastAsia"/>
              </w:rPr>
              <w:t>构成谈判文件的其他材料</w:t>
            </w:r>
          </w:p>
        </w:tc>
        <w:tc>
          <w:tcPr>
            <w:tcW w:w="7159" w:type="dxa"/>
            <w:gridSpan w:val="2"/>
            <w:tcBorders>
              <w:bottom w:val="single" w:color="auto" w:sz="4" w:space="0"/>
            </w:tcBorders>
            <w:vAlign w:val="center"/>
          </w:tcPr>
          <w:p>
            <w:pPr>
              <w:spacing w:line="340" w:lineRule="exact"/>
            </w:pPr>
            <w:r>
              <w:rPr>
                <w:rFonts w:hint="eastAsia"/>
              </w:rPr>
              <w:t>谈判文件澄清、答疑、补充文件等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jc w:val="center"/>
            </w:pPr>
            <w:r>
              <w:rPr>
                <w:rFonts w:hint="eastAsia"/>
              </w:rPr>
              <w:t>3.1.1</w:t>
            </w:r>
          </w:p>
        </w:tc>
        <w:tc>
          <w:tcPr>
            <w:tcW w:w="1661" w:type="dxa"/>
            <w:vAlign w:val="center"/>
          </w:tcPr>
          <w:p>
            <w:pPr>
              <w:spacing w:line="360" w:lineRule="exact"/>
              <w:jc w:val="center"/>
            </w:pPr>
            <w:r>
              <w:rPr>
                <w:rFonts w:hint="eastAsia"/>
              </w:rPr>
              <w:t>响应文件内容</w:t>
            </w:r>
          </w:p>
        </w:tc>
        <w:tc>
          <w:tcPr>
            <w:tcW w:w="7159" w:type="dxa"/>
            <w:gridSpan w:val="2"/>
            <w:tcBorders>
              <w:bottom w:val="single" w:color="auto" w:sz="4" w:space="0"/>
            </w:tcBorders>
            <w:vAlign w:val="center"/>
          </w:tcPr>
          <w:p>
            <w:pPr>
              <w:spacing w:line="340" w:lineRule="exact"/>
            </w:pPr>
            <w:r>
              <w:rPr>
                <w:rFonts w:hint="eastAsia"/>
              </w:rPr>
              <w:t>谈判文件商务、技术部分内容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59" w:type="dxa"/>
            <w:shd w:val="clear" w:color="auto" w:fill="auto"/>
            <w:vAlign w:val="center"/>
          </w:tcPr>
          <w:p>
            <w:pPr>
              <w:jc w:val="center"/>
            </w:pPr>
            <w:r>
              <w:rPr>
                <w:rFonts w:hint="eastAsia"/>
              </w:rPr>
              <w:t>3.2.1</w:t>
            </w:r>
          </w:p>
        </w:tc>
        <w:tc>
          <w:tcPr>
            <w:tcW w:w="1661" w:type="dxa"/>
            <w:shd w:val="clear" w:color="auto" w:fill="auto"/>
            <w:vAlign w:val="center"/>
          </w:tcPr>
          <w:p>
            <w:pPr>
              <w:spacing w:line="360" w:lineRule="exact"/>
              <w:jc w:val="center"/>
            </w:pPr>
            <w:r>
              <w:rPr>
                <w:rFonts w:hint="eastAsia"/>
              </w:rPr>
              <w:t>报价</w:t>
            </w:r>
          </w:p>
        </w:tc>
        <w:tc>
          <w:tcPr>
            <w:tcW w:w="7159" w:type="dxa"/>
            <w:gridSpan w:val="2"/>
            <w:shd w:val="clear" w:color="auto" w:fill="FFFFFF"/>
            <w:vAlign w:val="center"/>
          </w:tcPr>
          <w:p>
            <w:pPr>
              <w:spacing w:line="340" w:lineRule="exact"/>
            </w:pPr>
            <w:r>
              <w:rPr>
                <w:rFonts w:hint="eastAsia"/>
              </w:rPr>
              <w:t xml:space="preserve">1.报价方式：总价。 </w:t>
            </w:r>
          </w:p>
          <w:p>
            <w:pPr>
              <w:spacing w:line="340" w:lineRule="exact"/>
            </w:pPr>
            <w:r>
              <w:rPr>
                <w:rFonts w:hint="eastAsia"/>
              </w:rPr>
              <w:t>2.报价币种：人民币。</w:t>
            </w:r>
          </w:p>
          <w:p>
            <w:pPr>
              <w:spacing w:line="340" w:lineRule="exact"/>
            </w:pPr>
            <w:r>
              <w:rPr>
                <w:rFonts w:hint="eastAsia"/>
              </w:rPr>
              <w:t>3.报价为9%增值税专用发票价格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jc w:val="center"/>
            </w:pPr>
            <w:r>
              <w:rPr>
                <w:rFonts w:hint="eastAsia"/>
              </w:rPr>
              <w:t>3.2.2</w:t>
            </w:r>
          </w:p>
        </w:tc>
        <w:tc>
          <w:tcPr>
            <w:tcW w:w="1661" w:type="dxa"/>
            <w:vAlign w:val="center"/>
          </w:tcPr>
          <w:p>
            <w:pPr>
              <w:spacing w:line="360" w:lineRule="exact"/>
              <w:jc w:val="center"/>
            </w:pPr>
            <w:r>
              <w:rPr>
                <w:rFonts w:hint="eastAsia"/>
              </w:rPr>
              <w:t>报价修改</w:t>
            </w:r>
          </w:p>
        </w:tc>
        <w:tc>
          <w:tcPr>
            <w:tcW w:w="7159" w:type="dxa"/>
            <w:gridSpan w:val="2"/>
            <w:vAlign w:val="center"/>
          </w:tcPr>
          <w:p>
            <w:pPr>
              <w:spacing w:line="340" w:lineRule="exact"/>
            </w:pPr>
            <w:r>
              <w:rPr>
                <w:rFonts w:hint="eastAsia"/>
              </w:rPr>
              <w:t>详见谈判须知正文3.2.2节内容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jc w:val="center"/>
            </w:pPr>
            <w:r>
              <w:rPr>
                <w:rFonts w:hint="eastAsia"/>
              </w:rPr>
              <w:t>3.3.1</w:t>
            </w:r>
          </w:p>
        </w:tc>
        <w:tc>
          <w:tcPr>
            <w:tcW w:w="1661" w:type="dxa"/>
            <w:vAlign w:val="center"/>
          </w:tcPr>
          <w:p>
            <w:pPr>
              <w:spacing w:line="360" w:lineRule="exact"/>
              <w:jc w:val="center"/>
            </w:pPr>
            <w:r>
              <w:rPr>
                <w:rFonts w:hint="eastAsia"/>
              </w:rPr>
              <w:t>谈判有效期</w:t>
            </w:r>
          </w:p>
        </w:tc>
        <w:tc>
          <w:tcPr>
            <w:tcW w:w="7159" w:type="dxa"/>
            <w:gridSpan w:val="2"/>
            <w:vAlign w:val="center"/>
          </w:tcPr>
          <w:p>
            <w:pPr>
              <w:spacing w:line="340" w:lineRule="exact"/>
            </w:pPr>
            <w:r>
              <w:rPr>
                <w:rFonts w:hint="eastAsia"/>
              </w:rPr>
              <w:t>90日历天（自</w:t>
            </w:r>
            <w:r>
              <w:t>递交</w:t>
            </w:r>
            <w:r>
              <w:rPr>
                <w:rFonts w:hint="eastAsia"/>
              </w:rPr>
              <w:t>响应</w:t>
            </w:r>
            <w:r>
              <w:t>文件截止</w:t>
            </w:r>
            <w:r>
              <w:rPr>
                <w:rFonts w:hint="eastAsia"/>
              </w:rPr>
              <w:t>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9" w:type="dxa"/>
            <w:vAlign w:val="center"/>
          </w:tcPr>
          <w:p>
            <w:pPr>
              <w:jc w:val="center"/>
              <w:rPr>
                <w:color w:val="000000"/>
              </w:rPr>
            </w:pPr>
            <w:r>
              <w:rPr>
                <w:rFonts w:hint="eastAsia"/>
                <w:color w:val="000000"/>
              </w:rPr>
              <w:t>3.4</w:t>
            </w:r>
          </w:p>
        </w:tc>
        <w:tc>
          <w:tcPr>
            <w:tcW w:w="1661" w:type="dxa"/>
            <w:vAlign w:val="center"/>
          </w:tcPr>
          <w:p>
            <w:pPr>
              <w:spacing w:line="360" w:lineRule="exact"/>
              <w:jc w:val="center"/>
              <w:rPr>
                <w:color w:val="000000"/>
              </w:rPr>
            </w:pPr>
            <w:r>
              <w:rPr>
                <w:rFonts w:hint="eastAsia"/>
                <w:color w:val="000000"/>
              </w:rPr>
              <w:t>谈判保证金</w:t>
            </w:r>
          </w:p>
        </w:tc>
        <w:tc>
          <w:tcPr>
            <w:tcW w:w="7159" w:type="dxa"/>
            <w:gridSpan w:val="2"/>
            <w:vAlign w:val="center"/>
          </w:tcPr>
          <w:p>
            <w:pPr>
              <w:spacing w:line="34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9" w:type="dxa"/>
            <w:vAlign w:val="center"/>
          </w:tcPr>
          <w:p>
            <w:pPr>
              <w:jc w:val="center"/>
            </w:pPr>
            <w:r>
              <w:rPr>
                <w:rFonts w:hint="eastAsia"/>
              </w:rPr>
              <w:t>3.5.1</w:t>
            </w:r>
          </w:p>
        </w:tc>
        <w:tc>
          <w:tcPr>
            <w:tcW w:w="1661" w:type="dxa"/>
            <w:vAlign w:val="center"/>
          </w:tcPr>
          <w:p>
            <w:pPr>
              <w:spacing w:line="360" w:lineRule="exact"/>
              <w:jc w:val="center"/>
            </w:pPr>
            <w:r>
              <w:rPr>
                <w:rFonts w:hint="eastAsia"/>
              </w:rPr>
              <w:t>资格审查</w:t>
            </w:r>
          </w:p>
        </w:tc>
        <w:tc>
          <w:tcPr>
            <w:tcW w:w="7159" w:type="dxa"/>
            <w:gridSpan w:val="2"/>
            <w:vAlign w:val="center"/>
          </w:tcPr>
          <w:p>
            <w:pPr>
              <w:spacing w:line="340" w:lineRule="exact"/>
            </w:pPr>
            <w:r>
              <w:t>1、</w:t>
            </w:r>
            <w:r>
              <w:rPr>
                <w:rFonts w:hint="eastAsia"/>
              </w:rPr>
              <w:t>资格审查文件上传至济钢集团有限公司阳光购销平台（网址：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w:t>
            </w:r>
          </w:p>
          <w:p>
            <w:pPr>
              <w:spacing w:line="340" w:lineRule="exact"/>
            </w:pPr>
            <w:r>
              <w:rPr>
                <w:rFonts w:hint="eastAsia"/>
              </w:rPr>
              <w:t>2、评审</w:t>
            </w:r>
            <w:r>
              <w:t>委员会对</w:t>
            </w:r>
            <w:r>
              <w:rPr>
                <w:rFonts w:hint="eastAsia"/>
              </w:rPr>
              <w:t>供应商</w:t>
            </w:r>
            <w:r>
              <w:t>的</w:t>
            </w:r>
            <w:r>
              <w:rPr>
                <w:rFonts w:hint="eastAsia"/>
              </w:rPr>
              <w:t>资格审查文件</w:t>
            </w:r>
            <w:r>
              <w:t>进行评审。评审合格的进入下一阶段评审；评审不合格的</w:t>
            </w:r>
            <w:r>
              <w:rPr>
                <w:rFonts w:hint="eastAsia"/>
              </w:rPr>
              <w:t>取消其谈判资格</w:t>
            </w:r>
            <w:r>
              <w:t>，</w:t>
            </w:r>
            <w:r>
              <w:rPr>
                <w:rFonts w:hint="eastAsia"/>
              </w:rPr>
              <w:t>购买谈判文件的费用</w:t>
            </w:r>
            <w:r>
              <w:t>不退。</w:t>
            </w:r>
          </w:p>
          <w:p>
            <w:pPr>
              <w:spacing w:line="340" w:lineRule="exact"/>
            </w:pPr>
            <w:r>
              <w:rPr>
                <w:rFonts w:hint="eastAsia"/>
              </w:rPr>
              <w:t>3</w:t>
            </w:r>
            <w:r>
              <w:t>、</w:t>
            </w:r>
            <w:r>
              <w:rPr>
                <w:rFonts w:hint="eastAsia"/>
              </w:rPr>
              <w:t>资格审查文件包括但不限于：营业执照、资质证书、体系认证、资信等级、人员资格证书、业绩合同、获奖证书等的复印件，加盖公章。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9" w:type="dxa"/>
            <w:vAlign w:val="center"/>
          </w:tcPr>
          <w:p>
            <w:pPr>
              <w:jc w:val="center"/>
            </w:pPr>
            <w:r>
              <w:rPr>
                <w:rFonts w:hint="eastAsia"/>
              </w:rPr>
              <w:t>3.6.1</w:t>
            </w:r>
          </w:p>
        </w:tc>
        <w:tc>
          <w:tcPr>
            <w:tcW w:w="1661" w:type="dxa"/>
            <w:vAlign w:val="center"/>
          </w:tcPr>
          <w:p>
            <w:pPr>
              <w:spacing w:line="360" w:lineRule="exact"/>
            </w:pPr>
            <w:r>
              <w:rPr>
                <w:rFonts w:hint="eastAsia"/>
              </w:rPr>
              <w:t>近3年财务状况的年份要求</w:t>
            </w:r>
          </w:p>
        </w:tc>
        <w:tc>
          <w:tcPr>
            <w:tcW w:w="7159" w:type="dxa"/>
            <w:gridSpan w:val="2"/>
            <w:vAlign w:val="center"/>
          </w:tcPr>
          <w:p>
            <w:pPr>
              <w:spacing w:line="340" w:lineRule="exact"/>
            </w:pPr>
            <w:r>
              <w:rPr>
                <w:rFonts w:hint="eastAsia"/>
              </w:rPr>
              <w:t>2020年01月01日至今。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9" w:type="dxa"/>
            <w:vAlign w:val="center"/>
          </w:tcPr>
          <w:p>
            <w:pPr>
              <w:jc w:val="center"/>
            </w:pPr>
            <w:r>
              <w:rPr>
                <w:rFonts w:hint="eastAsia"/>
              </w:rPr>
              <w:t>3.6.2</w:t>
            </w:r>
          </w:p>
        </w:tc>
        <w:tc>
          <w:tcPr>
            <w:tcW w:w="1661" w:type="dxa"/>
            <w:vAlign w:val="center"/>
          </w:tcPr>
          <w:p>
            <w:pPr>
              <w:spacing w:line="360" w:lineRule="exact"/>
            </w:pPr>
            <w:r>
              <w:rPr>
                <w:rFonts w:hint="eastAsia"/>
              </w:rPr>
              <w:t>近3年完成的类似项目</w:t>
            </w:r>
          </w:p>
        </w:tc>
        <w:tc>
          <w:tcPr>
            <w:tcW w:w="7159" w:type="dxa"/>
            <w:gridSpan w:val="2"/>
            <w:vAlign w:val="center"/>
          </w:tcPr>
          <w:p>
            <w:pPr>
              <w:spacing w:line="340" w:lineRule="exact"/>
            </w:pPr>
            <w:r>
              <w:rPr>
                <w:rFonts w:hint="eastAsia"/>
              </w:rPr>
              <w:t>2020年01月01日至今。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959" w:type="dxa"/>
            <w:vAlign w:val="center"/>
          </w:tcPr>
          <w:p>
            <w:pPr>
              <w:jc w:val="center"/>
            </w:pPr>
            <w:r>
              <w:rPr>
                <w:rFonts w:hint="eastAsia"/>
              </w:rPr>
              <w:t>3.6.3</w:t>
            </w:r>
          </w:p>
        </w:tc>
        <w:tc>
          <w:tcPr>
            <w:tcW w:w="1661" w:type="dxa"/>
            <w:vAlign w:val="center"/>
          </w:tcPr>
          <w:p>
            <w:pPr>
              <w:spacing w:line="360" w:lineRule="exact"/>
            </w:pPr>
            <w:r>
              <w:rPr>
                <w:rFonts w:hint="eastAsia"/>
              </w:rPr>
              <w:t>近3年发生的诉讼及仲裁情况的年份要求</w:t>
            </w:r>
          </w:p>
        </w:tc>
        <w:tc>
          <w:tcPr>
            <w:tcW w:w="7159" w:type="dxa"/>
            <w:gridSpan w:val="2"/>
            <w:vAlign w:val="center"/>
          </w:tcPr>
          <w:p>
            <w:pPr>
              <w:spacing w:line="340" w:lineRule="exact"/>
            </w:pPr>
            <w:r>
              <w:rPr>
                <w:rFonts w:hint="eastAsia"/>
              </w:rPr>
              <w:t>2020年01月01日至今。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9" w:type="dxa"/>
            <w:vAlign w:val="center"/>
          </w:tcPr>
          <w:p>
            <w:pPr>
              <w:jc w:val="center"/>
            </w:pPr>
            <w:r>
              <w:rPr>
                <w:rFonts w:hint="eastAsia"/>
              </w:rPr>
              <w:t>3.7.1</w:t>
            </w:r>
          </w:p>
        </w:tc>
        <w:tc>
          <w:tcPr>
            <w:tcW w:w="1661" w:type="dxa"/>
            <w:vAlign w:val="center"/>
          </w:tcPr>
          <w:p>
            <w:pPr>
              <w:spacing w:line="360" w:lineRule="exact"/>
              <w:jc w:val="center"/>
            </w:pPr>
            <w:r>
              <w:rPr>
                <w:rFonts w:hint="eastAsia"/>
              </w:rPr>
              <w:t>签字或盖章要求</w:t>
            </w:r>
          </w:p>
        </w:tc>
        <w:tc>
          <w:tcPr>
            <w:tcW w:w="7159" w:type="dxa"/>
            <w:gridSpan w:val="2"/>
            <w:vAlign w:val="center"/>
          </w:tcPr>
          <w:p>
            <w:pPr>
              <w:spacing w:line="340" w:lineRule="exact"/>
            </w:pPr>
            <w:r>
              <w:rPr>
                <w:rFonts w:hint="eastAsia"/>
              </w:rPr>
              <w:t>响应文件应按第五章“响应文件格式及内容”要求进行签字或盖章，否则其响应文件按照无效处理。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59" w:type="dxa"/>
            <w:vAlign w:val="center"/>
          </w:tcPr>
          <w:p>
            <w:pPr>
              <w:jc w:val="center"/>
            </w:pPr>
            <w:r>
              <w:rPr>
                <w:rFonts w:hint="eastAsia"/>
              </w:rPr>
              <w:t>3.7.2</w:t>
            </w:r>
          </w:p>
        </w:tc>
        <w:tc>
          <w:tcPr>
            <w:tcW w:w="1661" w:type="dxa"/>
            <w:vAlign w:val="center"/>
          </w:tcPr>
          <w:p>
            <w:pPr>
              <w:spacing w:line="360" w:lineRule="exact"/>
              <w:jc w:val="center"/>
            </w:pPr>
            <w:r>
              <w:rPr>
                <w:rFonts w:hint="eastAsia"/>
              </w:rPr>
              <w:t>响应文件</w:t>
            </w:r>
          </w:p>
        </w:tc>
        <w:tc>
          <w:tcPr>
            <w:tcW w:w="7159" w:type="dxa"/>
            <w:gridSpan w:val="2"/>
            <w:vAlign w:val="center"/>
          </w:tcPr>
          <w:p>
            <w:pPr>
              <w:spacing w:line="340" w:lineRule="exact"/>
              <w:rPr>
                <w:b/>
              </w:rPr>
            </w:pPr>
            <w:r>
              <w:rPr>
                <w:rFonts w:hint="eastAsia"/>
              </w:rPr>
              <w:t>上传至济钢集团有限公司阳光购销平台（网址：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959" w:type="dxa"/>
            <w:vAlign w:val="center"/>
          </w:tcPr>
          <w:p>
            <w:pPr>
              <w:jc w:val="center"/>
            </w:pPr>
            <w:r>
              <w:rPr>
                <w:rFonts w:hint="eastAsia"/>
              </w:rPr>
              <w:t>3.7.3</w:t>
            </w:r>
          </w:p>
        </w:tc>
        <w:tc>
          <w:tcPr>
            <w:tcW w:w="1661" w:type="dxa"/>
            <w:vAlign w:val="center"/>
          </w:tcPr>
          <w:p>
            <w:pPr>
              <w:spacing w:line="360" w:lineRule="exact"/>
              <w:ind w:left="240" w:hanging="240" w:hangingChars="100"/>
              <w:jc w:val="center"/>
            </w:pPr>
            <w:r>
              <w:rPr>
                <w:rFonts w:hint="eastAsia"/>
              </w:rPr>
              <w:t>纸质响应文件装订要求</w:t>
            </w:r>
          </w:p>
        </w:tc>
        <w:tc>
          <w:tcPr>
            <w:tcW w:w="7159" w:type="dxa"/>
            <w:gridSpan w:val="2"/>
            <w:vAlign w:val="center"/>
          </w:tcPr>
          <w:p>
            <w:pPr>
              <w:spacing w:line="340" w:lineRule="exact"/>
              <w:rPr>
                <w:bCs/>
              </w:rPr>
            </w:pPr>
            <w:r>
              <w:rPr>
                <w:rFonts w:hint="eastAsia"/>
                <w:bCs/>
              </w:rPr>
              <w:t>1、成交人提供响应文件</w:t>
            </w:r>
            <w:r>
              <w:rPr>
                <w:rFonts w:hint="eastAsia"/>
              </w:rPr>
              <w:t>正本壹份，副本贰份；</w:t>
            </w:r>
            <w:r>
              <w:rPr>
                <w:rFonts w:hint="eastAsia"/>
                <w:bCs/>
              </w:rPr>
              <w:t>响应文件的正本与副本应分别装订成册。</w:t>
            </w:r>
          </w:p>
          <w:p>
            <w:pPr>
              <w:spacing w:line="340" w:lineRule="exact"/>
              <w:rPr>
                <w:bCs/>
              </w:rPr>
            </w:pPr>
            <w:r>
              <w:rPr>
                <w:rFonts w:hint="eastAsia"/>
                <w:bCs/>
              </w:rPr>
              <w:t>2、响应文件每册均须采用胶装方式在左侧装订，装订须牢固不易拆散和换页，不得采用活页方式装订。</w:t>
            </w:r>
          </w:p>
          <w:p>
            <w:pPr>
              <w:spacing w:line="340" w:lineRule="exact"/>
            </w:pPr>
            <w:r>
              <w:rPr>
                <w:rFonts w:hint="eastAsia"/>
                <w:bCs/>
              </w:rPr>
              <w:t>3、响应文件正本和副本的封面上应清楚地标记“正本”或“副本”的字样；正本和副本如有不一致之处，以正本为准。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jc w:val="center"/>
            </w:pPr>
            <w:r>
              <w:rPr>
                <w:rFonts w:hint="eastAsia"/>
              </w:rPr>
              <w:t>3.7.4</w:t>
            </w:r>
          </w:p>
        </w:tc>
        <w:tc>
          <w:tcPr>
            <w:tcW w:w="1661" w:type="dxa"/>
            <w:vAlign w:val="center"/>
          </w:tcPr>
          <w:p>
            <w:pPr>
              <w:spacing w:line="360" w:lineRule="exact"/>
              <w:ind w:left="240" w:hanging="240" w:hangingChars="100"/>
              <w:jc w:val="center"/>
            </w:pPr>
            <w:r>
              <w:rPr>
                <w:rFonts w:hint="eastAsia"/>
              </w:rPr>
              <w:t>电子文档</w:t>
            </w:r>
          </w:p>
        </w:tc>
        <w:tc>
          <w:tcPr>
            <w:tcW w:w="7159" w:type="dxa"/>
            <w:gridSpan w:val="2"/>
            <w:vAlign w:val="center"/>
          </w:tcPr>
          <w:p>
            <w:pPr>
              <w:spacing w:line="340" w:lineRule="exact"/>
              <w:rPr>
                <w:bCs/>
              </w:rPr>
            </w:pPr>
            <w:r>
              <w:rPr>
                <w:rFonts w:hint="eastAsia"/>
                <w:bCs/>
              </w:rPr>
              <w:t>详见谈判须知正文3.7.6条款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9" w:type="dxa"/>
            <w:vAlign w:val="center"/>
          </w:tcPr>
          <w:p>
            <w:pPr>
              <w:jc w:val="center"/>
              <w:rPr>
                <w:color w:val="000000"/>
              </w:rPr>
            </w:pPr>
            <w:r>
              <w:rPr>
                <w:rFonts w:hint="eastAsia"/>
                <w:color w:val="000000"/>
              </w:rPr>
              <w:t>4</w:t>
            </w:r>
          </w:p>
        </w:tc>
        <w:tc>
          <w:tcPr>
            <w:tcW w:w="1661" w:type="dxa"/>
            <w:vAlign w:val="center"/>
          </w:tcPr>
          <w:p>
            <w:pPr>
              <w:spacing w:line="360" w:lineRule="exact"/>
              <w:jc w:val="center"/>
              <w:rPr>
                <w:color w:val="000000"/>
              </w:rPr>
            </w:pPr>
            <w:r>
              <w:rPr>
                <w:rFonts w:hint="eastAsia" w:cs="仿宋"/>
              </w:rPr>
              <w:t>上传响应文件的截止时间</w:t>
            </w:r>
          </w:p>
        </w:tc>
        <w:tc>
          <w:tcPr>
            <w:tcW w:w="7159" w:type="dxa"/>
            <w:gridSpan w:val="2"/>
            <w:vAlign w:val="center"/>
          </w:tcPr>
          <w:p>
            <w:pPr>
              <w:spacing w:line="340" w:lineRule="exact"/>
              <w:rPr>
                <w:color w:val="000000"/>
              </w:rPr>
            </w:pPr>
            <w:r>
              <w:rPr>
                <w:rFonts w:hint="eastAsia" w:cs="Times New Roman"/>
                <w:kern w:val="2"/>
                <w:szCs w:val="22"/>
                <w:highlight w:val="yellow"/>
              </w:rPr>
              <w:t>202</w:t>
            </w:r>
            <w:r>
              <w:rPr>
                <w:rFonts w:hint="eastAsia" w:cs="Times New Roman"/>
                <w:kern w:val="2"/>
                <w:szCs w:val="22"/>
                <w:highlight w:val="yellow"/>
                <w:lang w:val="en-US" w:eastAsia="zh-CN"/>
              </w:rPr>
              <w:t>4</w:t>
            </w:r>
            <w:r>
              <w:rPr>
                <w:rFonts w:hint="eastAsia" w:cs="Times New Roman"/>
                <w:kern w:val="2"/>
                <w:szCs w:val="22"/>
                <w:highlight w:val="yellow"/>
              </w:rPr>
              <w:t>年</w:t>
            </w:r>
            <w:r>
              <w:rPr>
                <w:rFonts w:hint="eastAsia" w:cs="Times New Roman"/>
                <w:kern w:val="2"/>
                <w:szCs w:val="22"/>
                <w:highlight w:val="yellow"/>
                <w:lang w:val="en-US" w:eastAsia="zh-CN"/>
              </w:rPr>
              <w:t>7</w:t>
            </w:r>
            <w:r>
              <w:rPr>
                <w:rFonts w:hint="eastAsia" w:cs="Times New Roman"/>
                <w:kern w:val="2"/>
                <w:szCs w:val="22"/>
                <w:highlight w:val="yellow"/>
              </w:rPr>
              <w:t>月</w:t>
            </w:r>
            <w:r>
              <w:rPr>
                <w:rFonts w:hint="eastAsia" w:cs="Times New Roman"/>
                <w:kern w:val="2"/>
                <w:szCs w:val="22"/>
                <w:highlight w:val="yellow"/>
                <w:lang w:val="en-US" w:eastAsia="zh-CN"/>
              </w:rPr>
              <w:t>30</w:t>
            </w:r>
            <w:r>
              <w:rPr>
                <w:rFonts w:hint="eastAsia" w:cs="Times New Roman"/>
                <w:kern w:val="2"/>
                <w:szCs w:val="22"/>
                <w:highlight w:val="yellow"/>
              </w:rPr>
              <w:t>日</w:t>
            </w:r>
            <w:r>
              <w:rPr>
                <w:rFonts w:hint="eastAsia" w:cs="Times New Roman"/>
                <w:kern w:val="2"/>
                <w:szCs w:val="22"/>
                <w:highlight w:val="yellow"/>
                <w:lang w:val="en-US" w:eastAsia="zh-CN"/>
              </w:rPr>
              <w:t>下午14</w:t>
            </w:r>
            <w:r>
              <w:rPr>
                <w:rFonts w:hint="eastAsia" w:cs="Times New Roman"/>
                <w:kern w:val="2"/>
                <w:szCs w:val="22"/>
                <w:highlight w:val="yellow"/>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9" w:type="dxa"/>
            <w:vAlign w:val="center"/>
          </w:tcPr>
          <w:p>
            <w:pPr>
              <w:jc w:val="center"/>
              <w:rPr>
                <w:color w:val="000000"/>
              </w:rPr>
            </w:pPr>
            <w:r>
              <w:rPr>
                <w:rFonts w:hint="eastAsia"/>
                <w:color w:val="000000"/>
              </w:rPr>
              <w:t>5</w:t>
            </w:r>
          </w:p>
        </w:tc>
        <w:tc>
          <w:tcPr>
            <w:tcW w:w="1661" w:type="dxa"/>
            <w:vAlign w:val="center"/>
          </w:tcPr>
          <w:p>
            <w:pPr>
              <w:spacing w:line="360" w:lineRule="exact"/>
              <w:jc w:val="center"/>
              <w:rPr>
                <w:color w:val="000000"/>
              </w:rPr>
            </w:pPr>
            <w:r>
              <w:rPr>
                <w:rFonts w:hint="eastAsia"/>
                <w:color w:val="000000"/>
              </w:rPr>
              <w:t>谈判时间和</w:t>
            </w:r>
          </w:p>
          <w:p>
            <w:pPr>
              <w:spacing w:line="360" w:lineRule="exact"/>
              <w:jc w:val="center"/>
              <w:rPr>
                <w:color w:val="000000"/>
              </w:rPr>
            </w:pPr>
            <w:r>
              <w:rPr>
                <w:rFonts w:hint="eastAsia"/>
                <w:color w:val="000000"/>
              </w:rPr>
              <w:t>方式</w:t>
            </w:r>
          </w:p>
        </w:tc>
        <w:tc>
          <w:tcPr>
            <w:tcW w:w="7159" w:type="dxa"/>
            <w:gridSpan w:val="2"/>
            <w:vAlign w:val="center"/>
          </w:tcPr>
          <w:p>
            <w:pPr>
              <w:spacing w:line="340" w:lineRule="exact"/>
              <w:rPr>
                <w:color w:val="000000"/>
              </w:rPr>
            </w:pPr>
            <w:r>
              <w:rPr>
                <w:rFonts w:hint="eastAsia"/>
                <w:color w:val="000000"/>
              </w:rPr>
              <w:t>谈判时间：</w:t>
            </w:r>
            <w:r>
              <w:rPr>
                <w:rFonts w:hint="eastAsia" w:cs="Times New Roman"/>
                <w:kern w:val="2"/>
                <w:szCs w:val="22"/>
                <w:highlight w:val="yellow"/>
              </w:rPr>
              <w:t>202</w:t>
            </w:r>
            <w:r>
              <w:rPr>
                <w:rFonts w:hint="eastAsia" w:cs="Times New Roman"/>
                <w:kern w:val="2"/>
                <w:szCs w:val="22"/>
                <w:highlight w:val="yellow"/>
                <w:lang w:val="en-US" w:eastAsia="zh-CN"/>
              </w:rPr>
              <w:t>4</w:t>
            </w:r>
            <w:r>
              <w:rPr>
                <w:rFonts w:hint="eastAsia" w:cs="Times New Roman"/>
                <w:kern w:val="2"/>
                <w:szCs w:val="22"/>
                <w:highlight w:val="yellow"/>
              </w:rPr>
              <w:t>年</w:t>
            </w:r>
            <w:r>
              <w:rPr>
                <w:rFonts w:hint="eastAsia" w:cs="Times New Roman"/>
                <w:kern w:val="2"/>
                <w:szCs w:val="22"/>
                <w:highlight w:val="yellow"/>
                <w:lang w:val="en-US" w:eastAsia="zh-CN"/>
              </w:rPr>
              <w:t>7</w:t>
            </w:r>
            <w:r>
              <w:rPr>
                <w:rFonts w:hint="eastAsia" w:cs="Times New Roman"/>
                <w:kern w:val="2"/>
                <w:szCs w:val="22"/>
                <w:highlight w:val="yellow"/>
              </w:rPr>
              <w:t>月</w:t>
            </w:r>
            <w:r>
              <w:rPr>
                <w:rFonts w:hint="eastAsia" w:cs="Times New Roman"/>
                <w:kern w:val="2"/>
                <w:szCs w:val="22"/>
                <w:highlight w:val="yellow"/>
                <w:lang w:val="en-US" w:eastAsia="zh-CN"/>
              </w:rPr>
              <w:t>30</w:t>
            </w:r>
            <w:r>
              <w:rPr>
                <w:rFonts w:hint="eastAsia" w:cs="Times New Roman"/>
                <w:kern w:val="2"/>
                <w:szCs w:val="22"/>
                <w:highlight w:val="yellow"/>
              </w:rPr>
              <w:t>日</w:t>
            </w:r>
            <w:r>
              <w:rPr>
                <w:rFonts w:hint="eastAsia" w:cs="Times New Roman"/>
                <w:kern w:val="2"/>
                <w:szCs w:val="22"/>
                <w:highlight w:val="yellow"/>
                <w:lang w:val="en-US" w:eastAsia="zh-CN"/>
              </w:rPr>
              <w:t>下午14</w:t>
            </w:r>
            <w:r>
              <w:rPr>
                <w:rFonts w:hint="eastAsia" w:cs="Times New Roman"/>
                <w:kern w:val="2"/>
                <w:szCs w:val="22"/>
                <w:highlight w:val="yellow"/>
              </w:rPr>
              <w:t>点</w:t>
            </w:r>
            <w:bookmarkStart w:id="132" w:name="_GoBack"/>
            <w:bookmarkEnd w:id="132"/>
          </w:p>
          <w:p>
            <w:pPr>
              <w:spacing w:line="340" w:lineRule="exact"/>
              <w:rPr>
                <w:color w:val="000000"/>
              </w:rPr>
            </w:pPr>
            <w:r>
              <w:rPr>
                <w:rFonts w:hint="eastAsia"/>
                <w:color w:val="000000"/>
              </w:rPr>
              <w:t>谈判方式：</w:t>
            </w:r>
            <w:r>
              <w:rPr>
                <w:rFonts w:ascii="Times New Roman" w:hAnsi="Times New Roman"/>
                <w:color w:val="000000"/>
              </w:rPr>
              <w:t>网上</w:t>
            </w:r>
            <w:r>
              <w:rPr>
                <w:rFonts w:hint="eastAsia" w:ascii="Times New Roman" w:hAnsi="Times New Roman"/>
                <w:color w:val="000000"/>
              </w:rPr>
              <w:t>谈判</w:t>
            </w:r>
            <w:r>
              <w:rPr>
                <w:rFonts w:ascii="Times New Roman" w:hAnsi="Times New Roman"/>
                <w:color w:val="000000"/>
              </w:rPr>
              <w:t>，</w:t>
            </w:r>
            <w:r>
              <w:rPr>
                <w:rFonts w:hint="eastAsia" w:ascii="Times New Roman" w:hAnsi="Times New Roman"/>
                <w:color w:val="000000"/>
              </w:rPr>
              <w:t>谈判</w:t>
            </w:r>
            <w:r>
              <w:rPr>
                <w:rFonts w:ascii="Times New Roman" w:hAnsi="Times New Roman"/>
                <w:color w:val="000000"/>
              </w:rPr>
              <w:t>时无需</w:t>
            </w:r>
            <w:r>
              <w:rPr>
                <w:rFonts w:hint="eastAsia" w:ascii="Times New Roman" w:hAnsi="Times New Roman"/>
                <w:color w:val="000000"/>
              </w:rPr>
              <w:t>供应商</w:t>
            </w:r>
            <w:r>
              <w:rPr>
                <w:rFonts w:ascii="Times New Roman" w:hAnsi="Times New Roman"/>
                <w:color w:val="000000"/>
              </w:rPr>
              <w:t>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jc w:val="center"/>
            </w:pPr>
            <w:r>
              <w:rPr>
                <w:rFonts w:hint="eastAsia"/>
              </w:rPr>
              <w:t>6</w:t>
            </w:r>
          </w:p>
        </w:tc>
        <w:tc>
          <w:tcPr>
            <w:tcW w:w="1661" w:type="dxa"/>
            <w:vAlign w:val="center"/>
          </w:tcPr>
          <w:p>
            <w:pPr>
              <w:spacing w:line="360" w:lineRule="exact"/>
              <w:jc w:val="center"/>
            </w:pPr>
            <w:r>
              <w:rPr>
                <w:rFonts w:hint="eastAsia"/>
              </w:rPr>
              <w:t>评审方法</w:t>
            </w:r>
          </w:p>
        </w:tc>
        <w:tc>
          <w:tcPr>
            <w:tcW w:w="7159" w:type="dxa"/>
            <w:gridSpan w:val="2"/>
            <w:vAlign w:val="center"/>
          </w:tcPr>
          <w:p>
            <w:pPr>
              <w:spacing w:line="340" w:lineRule="exact"/>
              <w:rPr>
                <w:bCs/>
              </w:rPr>
            </w:pPr>
            <w:r>
              <w:rPr>
                <w:rFonts w:hint="eastAsia"/>
                <w:bCs/>
                <w:lang w:val="en-US" w:eastAsia="zh-CN"/>
              </w:rPr>
              <w:t>低价</w:t>
            </w:r>
            <w:r>
              <w:rPr>
                <w:rFonts w:hint="eastAsia"/>
                <w:bCs/>
              </w:rPr>
              <w:t>评审法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jc w:val="center"/>
            </w:pPr>
            <w:r>
              <w:rPr>
                <w:rFonts w:hint="eastAsia"/>
              </w:rPr>
              <w:t>7</w:t>
            </w:r>
          </w:p>
        </w:tc>
        <w:tc>
          <w:tcPr>
            <w:tcW w:w="1661" w:type="dxa"/>
            <w:vAlign w:val="center"/>
          </w:tcPr>
          <w:p>
            <w:pPr>
              <w:spacing w:line="360" w:lineRule="exact"/>
              <w:jc w:val="center"/>
            </w:pPr>
            <w:r>
              <w:rPr>
                <w:rFonts w:hint="eastAsia"/>
              </w:rPr>
              <w:t>履约</w:t>
            </w:r>
            <w:r>
              <w:rPr>
                <w:rFonts w:hint="eastAsia"/>
                <w:bCs/>
              </w:rPr>
              <w:t>保证金</w:t>
            </w:r>
          </w:p>
        </w:tc>
        <w:tc>
          <w:tcPr>
            <w:tcW w:w="7159" w:type="dxa"/>
            <w:gridSpan w:val="2"/>
            <w:vAlign w:val="center"/>
          </w:tcPr>
          <w:p>
            <w:pPr>
              <w:spacing w:line="340" w:lineRule="exact"/>
              <w:rPr>
                <w:color w:val="FF0000"/>
              </w:rPr>
            </w:pPr>
            <w:r>
              <w:rPr>
                <w:rFonts w:hint="eastAsia"/>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19" w:hRule="atLeast"/>
          <w:jc w:val="center"/>
        </w:trPr>
        <w:tc>
          <w:tcPr>
            <w:tcW w:w="959" w:type="dxa"/>
            <w:vAlign w:val="center"/>
          </w:tcPr>
          <w:p>
            <w:pPr>
              <w:jc w:val="center"/>
            </w:pPr>
            <w:r>
              <w:rPr>
                <w:rFonts w:hint="eastAsia"/>
              </w:rPr>
              <w:t>8</w:t>
            </w:r>
          </w:p>
        </w:tc>
        <w:tc>
          <w:tcPr>
            <w:tcW w:w="1661" w:type="dxa"/>
            <w:vAlign w:val="center"/>
          </w:tcPr>
          <w:p>
            <w:pPr>
              <w:spacing w:line="360" w:lineRule="exact"/>
              <w:jc w:val="center"/>
            </w:pPr>
            <w:r>
              <w:rPr>
                <w:rFonts w:hint="eastAsia"/>
              </w:rPr>
              <w:t>重新谈判</w:t>
            </w:r>
          </w:p>
        </w:tc>
        <w:tc>
          <w:tcPr>
            <w:tcW w:w="7146" w:type="dxa"/>
            <w:vAlign w:val="center"/>
          </w:tcPr>
          <w:p>
            <w:pPr>
              <w:spacing w:line="340" w:lineRule="exact"/>
              <w:rPr>
                <w:rFonts w:cs="仿宋"/>
              </w:rPr>
            </w:pPr>
            <w:r>
              <w:rPr>
                <w:rFonts w:hint="eastAsia" w:cs="仿宋"/>
              </w:rPr>
              <w:t>有下列情形之一的，采购人将重新谈判</w:t>
            </w:r>
          </w:p>
          <w:p>
            <w:pPr>
              <w:spacing w:line="340" w:lineRule="exact"/>
              <w:rPr>
                <w:rFonts w:cs="仿宋"/>
              </w:rPr>
            </w:pPr>
            <w:r>
              <w:rPr>
                <w:rFonts w:hint="eastAsia" w:cs="仿宋"/>
              </w:rPr>
              <w:t>1.截至到</w:t>
            </w:r>
            <w:r>
              <w:rPr>
                <w:rFonts w:hint="eastAsia"/>
              </w:rPr>
              <w:t>谈判开始时间</w:t>
            </w:r>
            <w:r>
              <w:rPr>
                <w:rFonts w:hint="eastAsia" w:cs="仿宋"/>
              </w:rPr>
              <w:t>，提交响应文件的供应商少于3个的；</w:t>
            </w:r>
          </w:p>
          <w:p>
            <w:pPr>
              <w:spacing w:line="340" w:lineRule="exact"/>
              <w:rPr>
                <w:rFonts w:cs="仿宋"/>
              </w:rPr>
            </w:pPr>
            <w:r>
              <w:rPr>
                <w:rFonts w:hint="eastAsia" w:cs="仿宋"/>
              </w:rPr>
              <w:t>2.经评审委员会评审，否决部分供应商响应文件后少于3个，缺乏竞争性的；</w:t>
            </w:r>
          </w:p>
          <w:p>
            <w:pPr>
              <w:spacing w:line="340" w:lineRule="exact"/>
            </w:pPr>
            <w:r>
              <w:rPr>
                <w:rFonts w:hint="eastAsia" w:cs="仿宋"/>
              </w:rPr>
              <w:t>3.经评审委员会评审否决所有响应文件的。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59" w:type="dxa"/>
            <w:vAlign w:val="center"/>
          </w:tcPr>
          <w:p>
            <w:pPr>
              <w:jc w:val="center"/>
            </w:pPr>
            <w:r>
              <w:rPr>
                <w:rFonts w:hint="eastAsia"/>
              </w:rPr>
              <w:t>9</w:t>
            </w:r>
          </w:p>
        </w:tc>
        <w:tc>
          <w:tcPr>
            <w:tcW w:w="8820" w:type="dxa"/>
            <w:gridSpan w:val="3"/>
            <w:vAlign w:val="center"/>
          </w:tcPr>
          <w:p>
            <w:pPr>
              <w:spacing w:line="340" w:lineRule="exact"/>
              <w:rPr>
                <w:bCs/>
              </w:rPr>
            </w:pPr>
            <w:r>
              <w:rPr>
                <w:rFonts w:hint="eastAsia"/>
                <w:bCs/>
              </w:rPr>
              <w:t>在任何评审环节中，需评审委员会就某项定性的评审结论做出表决的，由评审委员会全体成员按照少数服从多数的原则，以记名投票方式表决。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59" w:type="dxa"/>
            <w:vAlign w:val="center"/>
          </w:tcPr>
          <w:p>
            <w:pPr>
              <w:jc w:val="center"/>
            </w:pPr>
            <w:r>
              <w:rPr>
                <w:rFonts w:hint="eastAsia"/>
              </w:rPr>
              <w:t>10</w:t>
            </w:r>
          </w:p>
        </w:tc>
        <w:tc>
          <w:tcPr>
            <w:tcW w:w="8820" w:type="dxa"/>
            <w:gridSpan w:val="3"/>
            <w:vAlign w:val="center"/>
          </w:tcPr>
          <w:p>
            <w:pPr>
              <w:spacing w:line="340" w:lineRule="exact"/>
            </w:pPr>
            <w:r>
              <w:rPr>
                <w:rFonts w:hint="eastAsia"/>
              </w:rPr>
              <w:t>供应商认为谈判文件中有限制、排斥供应商情形的，应当在谈判开始时间2日前向采购人书面提出，未在规定时间内提出异议的，视为对谈判文件无异议。</w:t>
            </w:r>
          </w:p>
        </w:tc>
      </w:tr>
    </w:tbl>
    <w:p>
      <w:pPr>
        <w:pStyle w:val="22"/>
        <w:rPr>
          <w:rStyle w:val="24"/>
          <w:b w:val="0"/>
          <w:bCs w:val="0"/>
        </w:rPr>
      </w:pPr>
    </w:p>
    <w:p>
      <w:r>
        <w:br w:type="page"/>
      </w:r>
    </w:p>
    <w:p>
      <w:pPr>
        <w:pStyle w:val="14"/>
        <w:ind w:left="480" w:firstLine="480"/>
      </w:pPr>
    </w:p>
    <w:p>
      <w:pPr>
        <w:pStyle w:val="21"/>
        <w:spacing w:before="156"/>
        <w:rPr>
          <w:rStyle w:val="24"/>
          <w:b/>
          <w:bCs w:val="0"/>
        </w:rPr>
      </w:pPr>
      <w:bookmarkStart w:id="3" w:name="_Toc312072226"/>
      <w:bookmarkStart w:id="4" w:name="_Toc269310918"/>
      <w:bookmarkStart w:id="5" w:name="_Toc446434287"/>
      <w:r>
        <w:rPr>
          <w:rFonts w:hint="eastAsia"/>
          <w:sz w:val="32"/>
          <w:szCs w:val="32"/>
        </w:rPr>
        <w:t>谈判须知</w:t>
      </w:r>
      <w:bookmarkEnd w:id="3"/>
      <w:bookmarkEnd w:id="4"/>
      <w:r>
        <w:rPr>
          <w:rFonts w:hint="eastAsia"/>
          <w:sz w:val="32"/>
          <w:szCs w:val="32"/>
        </w:rPr>
        <w:t>正文部分</w:t>
      </w:r>
      <w:bookmarkEnd w:id="5"/>
    </w:p>
    <w:p>
      <w:pPr>
        <w:pStyle w:val="22"/>
        <w:rPr>
          <w:rStyle w:val="24"/>
          <w:b/>
          <w:bCs/>
        </w:rPr>
      </w:pPr>
      <w:bookmarkStart w:id="6" w:name="_Toc507936013"/>
      <w:bookmarkStart w:id="7" w:name="_Toc506105818"/>
      <w:r>
        <w:rPr>
          <w:rStyle w:val="24"/>
          <w:rFonts w:hint="eastAsia"/>
          <w:b/>
          <w:bCs w:val="0"/>
        </w:rPr>
        <w:t>1.总则</w:t>
      </w:r>
      <w:bookmarkEnd w:id="6"/>
      <w:bookmarkEnd w:id="7"/>
    </w:p>
    <w:p>
      <w:pPr>
        <w:pStyle w:val="26"/>
      </w:pPr>
      <w:bookmarkStart w:id="8" w:name="_Toc507936014"/>
      <w:bookmarkStart w:id="9" w:name="_Toc506105819"/>
      <w:r>
        <w:rPr>
          <w:rFonts w:hint="eastAsia"/>
        </w:rPr>
        <w:t>1.1 项目概况</w:t>
      </w:r>
      <w:bookmarkEnd w:id="8"/>
      <w:bookmarkEnd w:id="9"/>
    </w:p>
    <w:p>
      <w:pPr>
        <w:spacing w:line="360" w:lineRule="auto"/>
        <w:ind w:firstLine="480" w:firstLineChars="200"/>
        <w:rPr>
          <w:rFonts w:cs="仿宋"/>
        </w:rPr>
      </w:pPr>
      <w:r>
        <w:rPr>
          <w:rFonts w:hint="eastAsia" w:cs="仿宋"/>
        </w:rPr>
        <w:t>根据《中华人民共和国招标投标法》、《中华人民共和国招标投标法实施条例》等有关法律、法规和规章的规定，本项目已具备竞争性谈判条件。</w:t>
      </w:r>
    </w:p>
    <w:p>
      <w:pPr>
        <w:pStyle w:val="27"/>
        <w:keepNext w:val="0"/>
        <w:keepLines w:val="0"/>
        <w:spacing w:before="0" w:line="360" w:lineRule="auto"/>
        <w:ind w:firstLine="480" w:firstLineChars="200"/>
        <w:rPr>
          <w:szCs w:val="28"/>
        </w:rPr>
      </w:pPr>
      <w:r>
        <w:rPr>
          <w:rFonts w:hint="eastAsia" w:ascii="宋体" w:hAnsi="宋体" w:cs="仿宋"/>
          <w:sz w:val="24"/>
        </w:rPr>
        <w:t xml:space="preserve">1.1.1 </w:t>
      </w:r>
      <w:r>
        <w:rPr>
          <w:rFonts w:hint="eastAsia" w:ascii="宋体" w:hAnsi="宋体" w:eastAsia="宋体" w:cs="仿宋"/>
          <w:kern w:val="2"/>
          <w:sz w:val="24"/>
          <w:szCs w:val="24"/>
        </w:rPr>
        <w:t>采购人：</w:t>
      </w:r>
      <w:r>
        <w:rPr>
          <w:rFonts w:hint="eastAsia" w:ascii="宋体" w:hAnsi="宋体" w:eastAsia="宋体" w:cs="仿宋"/>
          <w:sz w:val="24"/>
          <w:szCs w:val="24"/>
        </w:rPr>
        <w:t>详见谈判</w:t>
      </w:r>
      <w:r>
        <w:rPr>
          <w:rFonts w:hint="eastAsia" w:ascii="宋体" w:hAnsi="宋体" w:eastAsia="宋体" w:cs="仿宋"/>
          <w:kern w:val="2"/>
          <w:sz w:val="24"/>
          <w:szCs w:val="24"/>
        </w:rPr>
        <w:t>须知前附表</w:t>
      </w:r>
    </w:p>
    <w:p>
      <w:pPr>
        <w:spacing w:line="360" w:lineRule="auto"/>
        <w:ind w:firstLine="480" w:firstLineChars="200"/>
        <w:rPr>
          <w:rFonts w:cs="仿宋"/>
        </w:rPr>
      </w:pPr>
      <w:r>
        <w:rPr>
          <w:rFonts w:hint="eastAsia" w:cs="仿宋"/>
        </w:rPr>
        <w:t>1.1.2 采购项目名称：详见谈判须知前附表</w:t>
      </w:r>
    </w:p>
    <w:p>
      <w:pPr>
        <w:spacing w:line="360" w:lineRule="auto"/>
        <w:ind w:firstLine="480" w:firstLineChars="200"/>
        <w:rPr>
          <w:rFonts w:cs="仿宋"/>
        </w:rPr>
      </w:pPr>
      <w:r>
        <w:rPr>
          <w:rFonts w:hint="eastAsia" w:cs="仿宋"/>
        </w:rPr>
        <w:t>1.1.3项目概况: 详见谈判须知前附表</w:t>
      </w:r>
    </w:p>
    <w:p>
      <w:pPr>
        <w:spacing w:line="360" w:lineRule="auto"/>
        <w:ind w:firstLine="480" w:firstLineChars="200"/>
        <w:rPr>
          <w:rFonts w:cs="仿宋"/>
        </w:rPr>
      </w:pPr>
      <w:r>
        <w:rPr>
          <w:rFonts w:hint="eastAsia" w:cs="仿宋"/>
        </w:rPr>
        <w:t>1.1.4 项目地点：详见谈判须知前附表</w:t>
      </w:r>
    </w:p>
    <w:p>
      <w:pPr>
        <w:pStyle w:val="26"/>
      </w:pPr>
      <w:bookmarkStart w:id="10" w:name="_Toc27657"/>
      <w:bookmarkStart w:id="11" w:name="_Toc247527555"/>
      <w:bookmarkStart w:id="12" w:name="_Toc247513954"/>
      <w:bookmarkStart w:id="13" w:name="_Toc328559028"/>
      <w:bookmarkStart w:id="14" w:name="_Toc300834951"/>
      <w:bookmarkStart w:id="15" w:name="_Toc506105820"/>
      <w:bookmarkStart w:id="16" w:name="_Toc25497"/>
      <w:bookmarkStart w:id="17" w:name="_Toc507936015"/>
      <w:r>
        <w:rPr>
          <w:rFonts w:hint="eastAsia"/>
        </w:rPr>
        <w:t>1.2 项目资金来源</w:t>
      </w:r>
      <w:bookmarkEnd w:id="10"/>
      <w:bookmarkEnd w:id="11"/>
      <w:bookmarkEnd w:id="12"/>
      <w:bookmarkEnd w:id="13"/>
      <w:bookmarkEnd w:id="14"/>
      <w:bookmarkEnd w:id="15"/>
      <w:bookmarkEnd w:id="16"/>
      <w:r>
        <w:rPr>
          <w:rFonts w:hint="eastAsia"/>
        </w:rPr>
        <w:t>、采购方式、采购控价</w:t>
      </w:r>
      <w:bookmarkEnd w:id="17"/>
    </w:p>
    <w:p>
      <w:pPr>
        <w:spacing w:line="360" w:lineRule="auto"/>
        <w:ind w:firstLine="480" w:firstLineChars="200"/>
        <w:rPr>
          <w:rFonts w:cs="仿宋"/>
        </w:rPr>
      </w:pPr>
      <w:r>
        <w:rPr>
          <w:rFonts w:hint="eastAsia" w:cs="仿宋"/>
        </w:rPr>
        <w:t>1.2.1 项目资金来源：</w:t>
      </w:r>
      <w:bookmarkStart w:id="18" w:name="_Toc247527556"/>
      <w:bookmarkStart w:id="19" w:name="_Toc16572"/>
      <w:bookmarkStart w:id="20" w:name="_Toc30612"/>
      <w:bookmarkStart w:id="21" w:name="_Toc300834952"/>
      <w:bookmarkStart w:id="22" w:name="_Toc328559029"/>
      <w:bookmarkStart w:id="23" w:name="_Toc247513955"/>
      <w:r>
        <w:rPr>
          <w:rFonts w:hint="eastAsia" w:cs="仿宋"/>
        </w:rPr>
        <w:t>详见谈判须知前附表</w:t>
      </w:r>
    </w:p>
    <w:p>
      <w:pPr>
        <w:spacing w:line="360" w:lineRule="auto"/>
        <w:ind w:firstLine="480" w:firstLineChars="200"/>
        <w:rPr>
          <w:rFonts w:cs="仿宋"/>
        </w:rPr>
      </w:pPr>
      <w:r>
        <w:rPr>
          <w:rFonts w:hint="eastAsia" w:cs="仿宋"/>
        </w:rPr>
        <w:t>1.2.2采购方式：详见谈判须知前附表</w:t>
      </w:r>
    </w:p>
    <w:p>
      <w:pPr>
        <w:pStyle w:val="14"/>
        <w:ind w:left="0" w:leftChars="0" w:firstLine="480"/>
      </w:pPr>
      <w:r>
        <w:rPr>
          <w:rFonts w:hint="eastAsia" w:ascii="宋体" w:hAnsi="宋体" w:cs="仿宋"/>
        </w:rPr>
        <w:t>1.2.3</w:t>
      </w:r>
      <w:r>
        <w:rPr>
          <w:rFonts w:hint="eastAsia"/>
        </w:rPr>
        <w:t>采购控价：</w:t>
      </w:r>
      <w:r>
        <w:rPr>
          <w:rFonts w:hint="eastAsia" w:ascii="宋体" w:hAnsi="宋体" w:cs="仿宋"/>
        </w:rPr>
        <w:t>详见</w:t>
      </w:r>
      <w:r>
        <w:rPr>
          <w:rFonts w:hint="eastAsia" w:cs="仿宋"/>
        </w:rPr>
        <w:t>谈判</w:t>
      </w:r>
      <w:r>
        <w:rPr>
          <w:rFonts w:hint="eastAsia" w:ascii="宋体" w:hAnsi="宋体" w:cs="仿宋"/>
        </w:rPr>
        <w:t>须知前附表</w:t>
      </w:r>
    </w:p>
    <w:p>
      <w:pPr>
        <w:pStyle w:val="26"/>
      </w:pPr>
      <w:bookmarkStart w:id="24" w:name="_Toc506105821"/>
      <w:bookmarkStart w:id="25" w:name="_Toc507936016"/>
      <w:r>
        <w:rPr>
          <w:rFonts w:hint="eastAsia"/>
        </w:rPr>
        <w:t>1.3 采购范围、供货周期、</w:t>
      </w:r>
      <w:bookmarkEnd w:id="18"/>
      <w:bookmarkEnd w:id="19"/>
      <w:bookmarkEnd w:id="20"/>
      <w:bookmarkEnd w:id="21"/>
      <w:bookmarkEnd w:id="22"/>
      <w:bookmarkEnd w:id="23"/>
      <w:bookmarkEnd w:id="24"/>
      <w:r>
        <w:rPr>
          <w:rFonts w:hint="eastAsia"/>
        </w:rPr>
        <w:t>交货地点和质保期</w:t>
      </w:r>
      <w:bookmarkEnd w:id="25"/>
    </w:p>
    <w:p>
      <w:pPr>
        <w:tabs>
          <w:tab w:val="left" w:pos="220"/>
        </w:tabs>
        <w:snapToGrid w:val="0"/>
        <w:spacing w:line="360" w:lineRule="auto"/>
        <w:ind w:firstLine="480" w:firstLineChars="200"/>
        <w:rPr>
          <w:rFonts w:cs="仿宋"/>
        </w:rPr>
      </w:pPr>
      <w:r>
        <w:rPr>
          <w:rFonts w:hint="eastAsia" w:cs="仿宋"/>
        </w:rPr>
        <w:t>1.3.1 采购范围：详见谈判须知前附表</w:t>
      </w:r>
    </w:p>
    <w:p>
      <w:pPr>
        <w:spacing w:line="360" w:lineRule="auto"/>
        <w:ind w:firstLine="480" w:firstLineChars="200"/>
        <w:rPr>
          <w:rFonts w:cs="仿宋"/>
        </w:rPr>
      </w:pPr>
      <w:r>
        <w:rPr>
          <w:rFonts w:hint="eastAsia" w:cs="仿宋"/>
        </w:rPr>
        <w:t>1.3.2 供货周期：详见谈判须知前附表</w:t>
      </w:r>
    </w:p>
    <w:p>
      <w:pPr>
        <w:spacing w:line="360" w:lineRule="auto"/>
        <w:ind w:firstLine="480" w:firstLineChars="200"/>
        <w:rPr>
          <w:rFonts w:cs="仿宋"/>
        </w:rPr>
      </w:pPr>
      <w:r>
        <w:rPr>
          <w:rFonts w:hint="eastAsia" w:cs="仿宋"/>
        </w:rPr>
        <w:t>1.3.3 交货地点：详见谈判须知前附表</w:t>
      </w:r>
    </w:p>
    <w:p>
      <w:pPr>
        <w:spacing w:line="360" w:lineRule="auto"/>
        <w:ind w:firstLine="480" w:firstLineChars="200"/>
        <w:rPr>
          <w:rFonts w:cs="仿宋"/>
        </w:rPr>
      </w:pPr>
      <w:r>
        <w:rPr>
          <w:rFonts w:hint="eastAsia" w:cs="仿宋"/>
        </w:rPr>
        <w:t>1.3.4质保期：详见谈判须知前附表</w:t>
      </w:r>
    </w:p>
    <w:p>
      <w:pPr>
        <w:pStyle w:val="26"/>
      </w:pPr>
      <w:bookmarkStart w:id="26" w:name="_Toc506105822"/>
      <w:bookmarkStart w:id="27" w:name="_Toc507936017"/>
      <w:r>
        <w:rPr>
          <w:rFonts w:hint="eastAsia"/>
        </w:rPr>
        <w:t>1.4 供应商资格要求</w:t>
      </w:r>
      <w:bookmarkEnd w:id="26"/>
      <w:bookmarkEnd w:id="27"/>
    </w:p>
    <w:p>
      <w:pPr>
        <w:ind w:firstLine="480" w:firstLineChars="200"/>
        <w:rPr>
          <w:rFonts w:cs="仿宋"/>
        </w:rPr>
      </w:pPr>
      <w:r>
        <w:rPr>
          <w:rFonts w:hint="eastAsia" w:cs="仿宋"/>
        </w:rPr>
        <w:t xml:space="preserve">1.4.1 </w:t>
      </w:r>
      <w:r>
        <w:rPr>
          <w:rFonts w:hint="eastAsia"/>
        </w:rPr>
        <w:t>供应商</w:t>
      </w:r>
      <w:r>
        <w:rPr>
          <w:rFonts w:hint="eastAsia" w:cs="仿宋"/>
        </w:rPr>
        <w:t>资格要求：详见谈判须知前附表</w:t>
      </w:r>
    </w:p>
    <w:p>
      <w:pPr>
        <w:spacing w:line="360" w:lineRule="auto"/>
        <w:ind w:firstLine="480" w:firstLineChars="200"/>
        <w:rPr>
          <w:rFonts w:cs="仿宋"/>
        </w:rPr>
      </w:pPr>
      <w:r>
        <w:rPr>
          <w:rFonts w:hint="eastAsia" w:cs="仿宋"/>
        </w:rPr>
        <w:t>1.4.2 本次采购不接受联合体。</w:t>
      </w:r>
    </w:p>
    <w:p>
      <w:pPr>
        <w:pStyle w:val="26"/>
      </w:pPr>
      <w:bookmarkStart w:id="28" w:name="_Toc507936018"/>
      <w:bookmarkStart w:id="29" w:name="_Toc506105823"/>
      <w:r>
        <w:rPr>
          <w:rFonts w:hint="eastAsia"/>
        </w:rPr>
        <w:t>1.5 费用承担</w:t>
      </w:r>
      <w:bookmarkEnd w:id="28"/>
      <w:bookmarkEnd w:id="29"/>
    </w:p>
    <w:p>
      <w:pPr>
        <w:ind w:firstLine="480" w:firstLineChars="200"/>
        <w:rPr>
          <w:rFonts w:cs="仿宋"/>
        </w:rPr>
      </w:pPr>
      <w:r>
        <w:rPr>
          <w:rFonts w:hint="eastAsia"/>
        </w:rPr>
        <w:t>供应商</w:t>
      </w:r>
      <w:r>
        <w:rPr>
          <w:rFonts w:hint="eastAsia" w:cs="仿宋"/>
        </w:rPr>
        <w:t>准备和参加谈判活动发生的费用自理。</w:t>
      </w:r>
    </w:p>
    <w:p>
      <w:pPr>
        <w:pStyle w:val="26"/>
      </w:pPr>
      <w:bookmarkStart w:id="30" w:name="_Toc506105824"/>
      <w:bookmarkStart w:id="31" w:name="_Toc507936019"/>
      <w:r>
        <w:rPr>
          <w:rFonts w:hint="eastAsia"/>
        </w:rPr>
        <w:t>1.6 保密</w:t>
      </w:r>
      <w:bookmarkEnd w:id="30"/>
      <w:bookmarkEnd w:id="31"/>
    </w:p>
    <w:p>
      <w:pPr>
        <w:spacing w:line="360" w:lineRule="auto"/>
        <w:ind w:firstLine="480" w:firstLineChars="200"/>
        <w:rPr>
          <w:rFonts w:cs="仿宋"/>
        </w:rPr>
      </w:pPr>
      <w:r>
        <w:rPr>
          <w:rFonts w:hint="eastAsia" w:cs="仿宋"/>
        </w:rPr>
        <w:t>参与谈判活动的各方应对谈判文件和响应文件中的商业和技术等秘密保密，违者应对由此造成的后果承担法律责任。</w:t>
      </w:r>
    </w:p>
    <w:p>
      <w:pPr>
        <w:pStyle w:val="26"/>
      </w:pPr>
      <w:bookmarkStart w:id="32" w:name="_Toc506105825"/>
      <w:bookmarkStart w:id="33" w:name="_Toc507936020"/>
      <w:r>
        <w:rPr>
          <w:rFonts w:hint="eastAsia"/>
        </w:rPr>
        <w:t>1.7 语言文字</w:t>
      </w:r>
      <w:bookmarkEnd w:id="32"/>
      <w:bookmarkEnd w:id="33"/>
    </w:p>
    <w:p>
      <w:pPr>
        <w:spacing w:line="360" w:lineRule="auto"/>
        <w:ind w:firstLine="480" w:firstLineChars="200"/>
        <w:rPr>
          <w:rFonts w:cs="仿宋"/>
        </w:rPr>
      </w:pPr>
      <w:r>
        <w:rPr>
          <w:rFonts w:hint="eastAsia" w:cs="仿宋"/>
        </w:rPr>
        <w:t>除专用术语外，与谈判有关的语言均使用中文，必要时专用术语应附有中文注释。</w:t>
      </w:r>
    </w:p>
    <w:p>
      <w:pPr>
        <w:pStyle w:val="26"/>
      </w:pPr>
      <w:bookmarkStart w:id="34" w:name="_Toc507936021"/>
      <w:bookmarkStart w:id="35" w:name="_Toc506105826"/>
      <w:r>
        <w:rPr>
          <w:rFonts w:hint="eastAsia"/>
        </w:rPr>
        <w:t>1.8 计量单位</w:t>
      </w:r>
      <w:bookmarkEnd w:id="34"/>
      <w:bookmarkEnd w:id="35"/>
    </w:p>
    <w:p>
      <w:pPr>
        <w:spacing w:line="360" w:lineRule="auto"/>
        <w:ind w:firstLine="480" w:firstLineChars="200"/>
        <w:rPr>
          <w:rFonts w:cs="仿宋"/>
        </w:rPr>
      </w:pPr>
      <w:r>
        <w:rPr>
          <w:rFonts w:hint="eastAsia" w:cs="仿宋"/>
        </w:rPr>
        <w:t>所有计量均采用中华人民共和国法定计量单位。</w:t>
      </w:r>
    </w:p>
    <w:p>
      <w:pPr>
        <w:pStyle w:val="26"/>
      </w:pPr>
      <w:bookmarkStart w:id="36" w:name="_Toc506105827"/>
      <w:bookmarkStart w:id="37" w:name="_Toc507936022"/>
      <w:r>
        <w:rPr>
          <w:rFonts w:hint="eastAsia"/>
        </w:rPr>
        <w:t>1.9 踏勘现场</w:t>
      </w:r>
      <w:bookmarkEnd w:id="36"/>
      <w:bookmarkEnd w:id="37"/>
    </w:p>
    <w:p>
      <w:pPr>
        <w:spacing w:line="360" w:lineRule="auto"/>
        <w:ind w:firstLine="480" w:firstLineChars="200"/>
        <w:rPr>
          <w:rStyle w:val="24"/>
        </w:rPr>
      </w:pPr>
      <w:r>
        <w:rPr>
          <w:rFonts w:hint="eastAsia" w:cs="仿宋"/>
        </w:rPr>
        <w:t>1.9.1详见谈判须知前附表</w:t>
      </w:r>
    </w:p>
    <w:p>
      <w:pPr>
        <w:pStyle w:val="26"/>
      </w:pPr>
      <w:bookmarkStart w:id="38" w:name="_Toc506105828"/>
      <w:bookmarkStart w:id="39" w:name="_Toc507936023"/>
      <w:r>
        <w:rPr>
          <w:rFonts w:hint="eastAsia"/>
        </w:rPr>
        <w:t>1.10 谈判预备会</w:t>
      </w:r>
      <w:bookmarkEnd w:id="38"/>
      <w:bookmarkEnd w:id="39"/>
    </w:p>
    <w:p>
      <w:pPr>
        <w:spacing w:line="360" w:lineRule="auto"/>
        <w:ind w:firstLine="480" w:firstLineChars="200"/>
        <w:rPr>
          <w:rFonts w:cs="仿宋"/>
        </w:rPr>
      </w:pPr>
      <w:r>
        <w:rPr>
          <w:rFonts w:hint="eastAsia" w:cs="仿宋"/>
        </w:rPr>
        <w:t>1.10.1采购人不召开谈判预备会。</w:t>
      </w:r>
    </w:p>
    <w:p>
      <w:pPr>
        <w:pStyle w:val="22"/>
        <w:rPr>
          <w:rStyle w:val="24"/>
          <w:b/>
          <w:bCs/>
        </w:rPr>
      </w:pPr>
      <w:bookmarkStart w:id="40" w:name="_Toc507936024"/>
      <w:r>
        <w:rPr>
          <w:rStyle w:val="24"/>
          <w:rFonts w:hint="eastAsia"/>
          <w:b/>
          <w:bCs/>
        </w:rPr>
        <w:t>2.</w:t>
      </w:r>
      <w:r>
        <w:rPr>
          <w:rStyle w:val="24"/>
          <w:rFonts w:hint="eastAsia" w:eastAsia="宋体"/>
          <w:b/>
          <w:bCs/>
        </w:rPr>
        <w:t>谈判</w:t>
      </w:r>
      <w:r>
        <w:rPr>
          <w:rStyle w:val="24"/>
          <w:rFonts w:hint="eastAsia"/>
          <w:b/>
          <w:bCs/>
        </w:rPr>
        <w:t>文件</w:t>
      </w:r>
      <w:bookmarkEnd w:id="40"/>
    </w:p>
    <w:p>
      <w:pPr>
        <w:pStyle w:val="26"/>
        <w:rPr>
          <w:rFonts w:eastAsia="宋体"/>
        </w:rPr>
      </w:pPr>
      <w:bookmarkStart w:id="41" w:name="_Toc506105830"/>
      <w:bookmarkStart w:id="42" w:name="_Toc507936025"/>
      <w:r>
        <w:rPr>
          <w:rFonts w:hint="eastAsia"/>
        </w:rPr>
        <w:t>2.1 谈判文件的内容</w:t>
      </w:r>
      <w:bookmarkEnd w:id="41"/>
      <w:bookmarkEnd w:id="42"/>
      <w:r>
        <w:rPr>
          <w:rFonts w:hint="eastAsia"/>
        </w:rPr>
        <w:t>和发布</w:t>
      </w:r>
    </w:p>
    <w:p>
      <w:pPr>
        <w:spacing w:line="360" w:lineRule="auto"/>
        <w:ind w:firstLine="480" w:firstLineChars="200"/>
        <w:rPr>
          <w:rFonts w:cs="仿宋"/>
        </w:rPr>
      </w:pPr>
      <w:r>
        <w:rPr>
          <w:rFonts w:hint="eastAsia" w:cs="仿宋"/>
        </w:rPr>
        <w:t>2.1.1谈判文件包括：</w:t>
      </w:r>
    </w:p>
    <w:p>
      <w:pPr>
        <w:spacing w:line="360" w:lineRule="auto"/>
        <w:ind w:firstLine="480" w:firstLineChars="200"/>
        <w:rPr>
          <w:rFonts w:cs="仿宋"/>
        </w:rPr>
      </w:pPr>
      <w:r>
        <w:rPr>
          <w:rFonts w:hint="eastAsia" w:cs="仿宋"/>
        </w:rPr>
        <w:t>（1）谈判公告</w:t>
      </w:r>
    </w:p>
    <w:p>
      <w:pPr>
        <w:spacing w:line="360" w:lineRule="auto"/>
        <w:ind w:firstLine="480" w:firstLineChars="200"/>
        <w:rPr>
          <w:rFonts w:cs="仿宋"/>
        </w:rPr>
      </w:pPr>
      <w:r>
        <w:rPr>
          <w:rFonts w:hint="eastAsia" w:cs="仿宋"/>
        </w:rPr>
        <w:t>（2）谈判须知</w:t>
      </w:r>
    </w:p>
    <w:p>
      <w:pPr>
        <w:spacing w:line="360" w:lineRule="auto"/>
        <w:ind w:firstLine="480" w:firstLineChars="200"/>
        <w:rPr>
          <w:rFonts w:cs="仿宋"/>
        </w:rPr>
      </w:pPr>
      <w:r>
        <w:rPr>
          <w:rFonts w:hint="eastAsia" w:cs="仿宋"/>
        </w:rPr>
        <w:t>（3）评审办法</w:t>
      </w:r>
    </w:p>
    <w:p>
      <w:pPr>
        <w:spacing w:line="360" w:lineRule="auto"/>
        <w:ind w:firstLine="480" w:firstLineChars="200"/>
        <w:rPr>
          <w:rFonts w:cs="仿宋"/>
        </w:rPr>
      </w:pPr>
      <w:r>
        <w:rPr>
          <w:rFonts w:hint="eastAsia" w:cs="仿宋"/>
        </w:rPr>
        <w:t>（4）合同及附件</w:t>
      </w:r>
    </w:p>
    <w:p>
      <w:pPr>
        <w:spacing w:line="360" w:lineRule="auto"/>
        <w:ind w:firstLine="480" w:firstLineChars="200"/>
        <w:rPr>
          <w:rFonts w:cs="仿宋"/>
        </w:rPr>
      </w:pPr>
      <w:r>
        <w:rPr>
          <w:rFonts w:hint="eastAsia" w:cs="仿宋"/>
        </w:rPr>
        <w:t>（5）响应文件格式及内容</w:t>
      </w:r>
    </w:p>
    <w:p>
      <w:pPr>
        <w:spacing w:line="360" w:lineRule="auto"/>
        <w:ind w:firstLine="480" w:firstLineChars="200"/>
        <w:rPr>
          <w:rFonts w:cs="仿宋"/>
        </w:rPr>
      </w:pPr>
      <w:r>
        <w:rPr>
          <w:rFonts w:hint="eastAsia" w:cs="仿宋"/>
        </w:rPr>
        <w:t>（6）需求一览表</w:t>
      </w:r>
    </w:p>
    <w:p>
      <w:pPr>
        <w:spacing w:line="360" w:lineRule="auto"/>
        <w:ind w:firstLine="480" w:firstLineChars="200"/>
        <w:rPr>
          <w:rFonts w:cs="仿宋"/>
        </w:rPr>
      </w:pPr>
      <w:r>
        <w:rPr>
          <w:rFonts w:hint="eastAsia" w:cs="仿宋"/>
        </w:rPr>
        <w:t>（7）技术规范</w:t>
      </w:r>
    </w:p>
    <w:p>
      <w:pPr>
        <w:spacing w:line="360" w:lineRule="auto"/>
        <w:ind w:firstLine="480" w:firstLineChars="200"/>
        <w:rPr>
          <w:rFonts w:cs="仿宋"/>
        </w:rPr>
      </w:pPr>
      <w:r>
        <w:rPr>
          <w:rFonts w:hint="eastAsia" w:cs="仿宋"/>
        </w:rPr>
        <w:t>（8）</w:t>
      </w:r>
      <w:r>
        <w:rPr>
          <w:rFonts w:hint="eastAsia"/>
        </w:rPr>
        <w:t>谈判须知前附表规定的其他材料</w:t>
      </w:r>
    </w:p>
    <w:p>
      <w:pPr>
        <w:spacing w:line="360" w:lineRule="auto"/>
        <w:ind w:firstLine="480" w:firstLineChars="200"/>
        <w:rPr>
          <w:rFonts w:cs="仿宋"/>
        </w:rPr>
      </w:pPr>
      <w:r>
        <w:rPr>
          <w:rFonts w:hint="eastAsia" w:cs="仿宋"/>
        </w:rPr>
        <w:t>根据本章第1.10款、第2.2款和第2.3款对谈判文件所作的澄清、修改，构成谈判文件的组成部分。</w:t>
      </w:r>
    </w:p>
    <w:p>
      <w:pPr>
        <w:spacing w:line="360" w:lineRule="auto"/>
        <w:ind w:firstLine="480" w:firstLineChars="200"/>
        <w:rPr>
          <w:rFonts w:cs="仿宋"/>
        </w:rPr>
      </w:pPr>
      <w:r>
        <w:rPr>
          <w:rFonts w:hint="eastAsia" w:cs="仿宋"/>
        </w:rPr>
        <w:t>2.1.2若谈判文件中不同章节对同一内容叙述有差异的，性能、参数以技术要求为准；供应商资格要求、交货期、交货地点、质保期以</w:t>
      </w:r>
      <w:r>
        <w:rPr>
          <w:rFonts w:hint="eastAsia"/>
        </w:rPr>
        <w:t>谈判须知前附表</w:t>
      </w:r>
      <w:r>
        <w:rPr>
          <w:rFonts w:hint="eastAsia" w:cs="仿宋"/>
        </w:rPr>
        <w:t>为准。</w:t>
      </w:r>
    </w:p>
    <w:p>
      <w:pPr>
        <w:pStyle w:val="14"/>
        <w:spacing w:line="360" w:lineRule="auto"/>
        <w:ind w:left="0" w:leftChars="0" w:firstLine="480"/>
        <w:rPr>
          <w:rFonts w:ascii="宋体" w:hAnsi="宋体" w:cs="仿宋"/>
        </w:rPr>
      </w:pPr>
      <w:r>
        <w:rPr>
          <w:rFonts w:hint="eastAsia" w:ascii="宋体" w:hAnsi="宋体" w:cs="仿宋"/>
        </w:rPr>
        <w:t>2.1.3本谈判文件在济钢集团有限公司阳光购销平台（网址：</w:t>
      </w:r>
      <w:r>
        <w:fldChar w:fldCharType="begin"/>
      </w:r>
      <w:r>
        <w:instrText xml:space="preserve"> HYPERLINK "http://bidding.jigang.com.cn" </w:instrText>
      </w:r>
      <w:r>
        <w:fldChar w:fldCharType="separate"/>
      </w:r>
      <w:r>
        <w:rPr>
          <w:rFonts w:hint="eastAsia" w:ascii="宋体" w:hAnsi="宋体" w:cs="仿宋"/>
        </w:rPr>
        <w:t>http://bidding.jigang.com.cn</w:t>
      </w:r>
      <w:r>
        <w:rPr>
          <w:rFonts w:hint="eastAsia" w:ascii="宋体" w:hAnsi="宋体" w:cs="仿宋"/>
        </w:rPr>
        <w:fldChar w:fldCharType="end"/>
      </w:r>
      <w:r>
        <w:rPr>
          <w:rFonts w:hint="eastAsia" w:ascii="宋体" w:hAnsi="宋体" w:cs="仿宋"/>
        </w:rPr>
        <w:t>/） 上发布。除上述媒介以外的媒介转载或发布与本次谈判相关信息的，采购人不承担任何责任并保留追究相关方责任的权利。</w:t>
      </w:r>
    </w:p>
    <w:p>
      <w:pPr>
        <w:pStyle w:val="26"/>
      </w:pPr>
      <w:bookmarkStart w:id="43" w:name="_Toc507936026"/>
      <w:bookmarkStart w:id="44" w:name="_Toc506105831"/>
      <w:r>
        <w:rPr>
          <w:rFonts w:hint="eastAsia"/>
        </w:rPr>
        <w:t>2.2 谈判文件的澄清</w:t>
      </w:r>
      <w:bookmarkEnd w:id="43"/>
      <w:bookmarkEnd w:id="44"/>
    </w:p>
    <w:p>
      <w:pPr>
        <w:spacing w:line="360" w:lineRule="auto"/>
        <w:ind w:firstLine="480" w:firstLineChars="200"/>
        <w:rPr>
          <w:rFonts w:cs="仿宋"/>
        </w:rPr>
      </w:pPr>
      <w:r>
        <w:rPr>
          <w:rFonts w:hint="eastAsia" w:cs="仿宋"/>
        </w:rPr>
        <w:t>2.2.1供应商应仔细阅读和检查谈判文件的全部内容。如发现缺页或者附件不全，应及时向采购人提出，以便补齐。</w:t>
      </w:r>
    </w:p>
    <w:p>
      <w:pPr>
        <w:spacing w:line="360" w:lineRule="auto"/>
        <w:ind w:firstLine="480" w:firstLineChars="200"/>
      </w:pPr>
      <w:r>
        <w:rPr>
          <w:rFonts w:hint="eastAsia" w:cs="仿宋"/>
        </w:rPr>
        <w:t>2.2.2谈判文件的澄清：详见谈判须知前附表</w:t>
      </w:r>
    </w:p>
    <w:p>
      <w:pPr>
        <w:pStyle w:val="26"/>
      </w:pPr>
      <w:bookmarkStart w:id="45" w:name="_Toc507936027"/>
      <w:bookmarkStart w:id="46" w:name="_Toc506105832"/>
      <w:r>
        <w:rPr>
          <w:rFonts w:hint="eastAsia"/>
        </w:rPr>
        <w:t>2.3 谈判文件的修改</w:t>
      </w:r>
      <w:bookmarkEnd w:id="45"/>
      <w:bookmarkEnd w:id="46"/>
    </w:p>
    <w:p>
      <w:pPr>
        <w:spacing w:line="360" w:lineRule="auto"/>
        <w:ind w:firstLine="480" w:firstLineChars="200"/>
        <w:rPr>
          <w:rFonts w:cs="仿宋"/>
        </w:rPr>
      </w:pPr>
      <w:r>
        <w:rPr>
          <w:rFonts w:hint="eastAsia"/>
        </w:rPr>
        <w:t>谈判文件修改的截止时间为谈判开始前2日，在济钢集团有限公司阳光购销平台（网址：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上发布。采购人对谈判文件修改距谈判时间不足2天的，相应延长谈判开始时间。</w:t>
      </w:r>
    </w:p>
    <w:p>
      <w:pPr>
        <w:pStyle w:val="26"/>
      </w:pPr>
      <w:bookmarkStart w:id="47" w:name="_Toc506105833"/>
      <w:bookmarkStart w:id="48" w:name="_Toc507936028"/>
      <w:r>
        <w:rPr>
          <w:rFonts w:hint="eastAsia"/>
        </w:rPr>
        <w:t>2.4对谈判文件的异议</w:t>
      </w:r>
      <w:bookmarkEnd w:id="47"/>
      <w:bookmarkEnd w:id="48"/>
    </w:p>
    <w:p>
      <w:pPr>
        <w:spacing w:line="360" w:lineRule="auto"/>
        <w:ind w:firstLine="480" w:firstLineChars="200"/>
        <w:rPr>
          <w:rFonts w:cs="仿宋"/>
        </w:rPr>
      </w:pPr>
      <w:r>
        <w:rPr>
          <w:rFonts w:hint="eastAsia" w:cs="仿宋"/>
        </w:rPr>
        <w:t>供应商对谈判文件有异议的，应当在谈判时间2天前提出。采购人自收到异议之日起1日内做出答复；若异议和答复内容影响谈判文件编制的，按照本章第2.3款的规定相应延长谈判开始时间。</w:t>
      </w:r>
    </w:p>
    <w:p>
      <w:pPr>
        <w:spacing w:line="360" w:lineRule="auto"/>
        <w:jc w:val="center"/>
        <w:rPr>
          <w:rStyle w:val="24"/>
          <w:rFonts w:ascii="宋体" w:hAnsi="宋体"/>
        </w:rPr>
      </w:pPr>
      <w:r>
        <w:rPr>
          <w:rStyle w:val="24"/>
          <w:rFonts w:hint="eastAsia" w:ascii="宋体" w:hAnsi="宋体"/>
        </w:rPr>
        <w:t>3、</w:t>
      </w:r>
      <w:r>
        <w:rPr>
          <w:rStyle w:val="24"/>
          <w:rFonts w:hint="eastAsia"/>
        </w:rPr>
        <w:t>响应</w:t>
      </w:r>
      <w:r>
        <w:rPr>
          <w:rStyle w:val="24"/>
          <w:rFonts w:hint="eastAsia" w:ascii="宋体" w:hAnsi="宋体"/>
        </w:rPr>
        <w:t>文件</w:t>
      </w:r>
    </w:p>
    <w:p>
      <w:pPr>
        <w:pStyle w:val="26"/>
      </w:pPr>
      <w:bookmarkStart w:id="49" w:name="_Toc506105835"/>
      <w:bookmarkStart w:id="50" w:name="_Toc507936029"/>
      <w:r>
        <w:rPr>
          <w:rFonts w:hint="eastAsia"/>
        </w:rPr>
        <w:t>3.1 响应文件的组成</w:t>
      </w:r>
      <w:bookmarkEnd w:id="49"/>
      <w:bookmarkEnd w:id="50"/>
    </w:p>
    <w:p>
      <w:pPr>
        <w:spacing w:line="360" w:lineRule="auto"/>
        <w:ind w:firstLine="480" w:firstLineChars="200"/>
        <w:rPr>
          <w:rFonts w:cs="仿宋"/>
        </w:rPr>
      </w:pPr>
      <w:r>
        <w:rPr>
          <w:rFonts w:hint="eastAsia" w:cs="仿宋"/>
        </w:rPr>
        <w:t>3.1.1响应文件包括下列内容：</w:t>
      </w:r>
    </w:p>
    <w:p>
      <w:pPr>
        <w:spacing w:line="360" w:lineRule="auto"/>
        <w:ind w:firstLine="480" w:firstLineChars="200"/>
        <w:rPr>
          <w:rFonts w:cs="仿宋"/>
        </w:rPr>
      </w:pPr>
      <w:r>
        <w:rPr>
          <w:rFonts w:hint="eastAsia" w:cs="仿宋"/>
        </w:rPr>
        <w:t>第一部分  商务部分</w:t>
      </w:r>
    </w:p>
    <w:p>
      <w:pPr>
        <w:spacing w:line="360" w:lineRule="auto"/>
        <w:ind w:firstLine="480" w:firstLineChars="200"/>
        <w:rPr>
          <w:rFonts w:cs="仿宋"/>
        </w:rPr>
      </w:pPr>
      <w:r>
        <w:rPr>
          <w:rFonts w:hint="eastAsia" w:cs="仿宋"/>
        </w:rPr>
        <w:t>（1）报价函</w:t>
      </w:r>
    </w:p>
    <w:p>
      <w:pPr>
        <w:spacing w:line="360" w:lineRule="auto"/>
        <w:ind w:firstLine="480" w:firstLineChars="200"/>
        <w:rPr>
          <w:rFonts w:cs="仿宋"/>
        </w:rPr>
      </w:pPr>
      <w:r>
        <w:rPr>
          <w:rFonts w:hint="eastAsia" w:cs="仿宋"/>
        </w:rPr>
        <w:t>（2）授权委托书</w:t>
      </w:r>
    </w:p>
    <w:p>
      <w:pPr>
        <w:spacing w:line="360" w:lineRule="auto"/>
        <w:ind w:firstLine="480" w:firstLineChars="200"/>
        <w:rPr>
          <w:rFonts w:cs="仿宋"/>
        </w:rPr>
      </w:pPr>
      <w:r>
        <w:rPr>
          <w:rFonts w:hint="eastAsia" w:cs="仿宋"/>
        </w:rPr>
        <w:t>（3）谈判保证金</w:t>
      </w:r>
    </w:p>
    <w:p>
      <w:pPr>
        <w:spacing w:line="360" w:lineRule="auto"/>
        <w:ind w:firstLine="480" w:firstLineChars="200"/>
        <w:rPr>
          <w:rFonts w:cs="仿宋"/>
        </w:rPr>
      </w:pPr>
      <w:r>
        <w:rPr>
          <w:rFonts w:hint="eastAsia" w:cs="仿宋"/>
        </w:rPr>
        <w:t>（4）资格审查资料</w:t>
      </w:r>
    </w:p>
    <w:p>
      <w:pPr>
        <w:spacing w:line="360" w:lineRule="auto"/>
        <w:ind w:firstLine="480" w:firstLineChars="200"/>
        <w:rPr>
          <w:rFonts w:cs="仿宋"/>
        </w:rPr>
      </w:pPr>
      <w:r>
        <w:rPr>
          <w:rFonts w:hint="eastAsia" w:cs="仿宋"/>
        </w:rPr>
        <w:t>（5）报价表</w:t>
      </w:r>
    </w:p>
    <w:p>
      <w:pPr>
        <w:spacing w:line="360" w:lineRule="auto"/>
        <w:ind w:firstLine="480" w:firstLineChars="200"/>
        <w:rPr>
          <w:rFonts w:cs="仿宋"/>
        </w:rPr>
      </w:pPr>
      <w:r>
        <w:rPr>
          <w:rFonts w:hint="eastAsia" w:cs="仿宋"/>
        </w:rPr>
        <w:t>（6）商务偏差表</w:t>
      </w:r>
    </w:p>
    <w:p>
      <w:pPr>
        <w:spacing w:line="360" w:lineRule="auto"/>
        <w:ind w:firstLine="480" w:firstLineChars="200"/>
        <w:rPr>
          <w:rFonts w:cs="仿宋"/>
        </w:rPr>
      </w:pPr>
      <w:r>
        <w:rPr>
          <w:rFonts w:hint="eastAsia" w:cs="仿宋"/>
        </w:rPr>
        <w:t>（7）无行贿犯罪记录证明材料</w:t>
      </w:r>
    </w:p>
    <w:p>
      <w:pPr>
        <w:spacing w:line="360" w:lineRule="auto"/>
        <w:ind w:firstLine="480" w:firstLineChars="200"/>
        <w:rPr>
          <w:rFonts w:cs="仿宋"/>
        </w:rPr>
      </w:pPr>
      <w:r>
        <w:rPr>
          <w:rFonts w:hint="eastAsia" w:cs="仿宋"/>
        </w:rPr>
        <w:t>（8）供应商认为应补充的其它商务资料</w:t>
      </w:r>
    </w:p>
    <w:p>
      <w:pPr>
        <w:spacing w:line="360" w:lineRule="auto"/>
        <w:ind w:firstLine="480" w:firstLineChars="200"/>
        <w:rPr>
          <w:rFonts w:cs="仿宋"/>
        </w:rPr>
      </w:pPr>
      <w:r>
        <w:rPr>
          <w:rFonts w:hint="eastAsia" w:cs="仿宋"/>
        </w:rPr>
        <w:t>第二部分  技术部分</w:t>
      </w:r>
    </w:p>
    <w:p>
      <w:pPr>
        <w:spacing w:line="360" w:lineRule="auto"/>
        <w:ind w:left="480"/>
        <w:rPr>
          <w:rFonts w:cs="仿宋"/>
        </w:rPr>
      </w:pPr>
      <w:r>
        <w:rPr>
          <w:rFonts w:hint="eastAsia" w:cs="仿宋"/>
        </w:rPr>
        <w:t>（1）采购内容</w:t>
      </w:r>
    </w:p>
    <w:p>
      <w:pPr>
        <w:spacing w:line="360" w:lineRule="auto"/>
        <w:ind w:left="480"/>
        <w:rPr>
          <w:rFonts w:cs="仿宋"/>
        </w:rPr>
      </w:pPr>
      <w:r>
        <w:rPr>
          <w:rFonts w:hint="eastAsia" w:cs="仿宋"/>
        </w:rPr>
        <w:t>（2）交货计划表</w:t>
      </w:r>
    </w:p>
    <w:p>
      <w:pPr>
        <w:spacing w:line="360" w:lineRule="auto"/>
        <w:ind w:left="480"/>
        <w:rPr>
          <w:rFonts w:cs="仿宋"/>
        </w:rPr>
      </w:pPr>
      <w:r>
        <w:rPr>
          <w:rFonts w:hint="eastAsia" w:cs="仿宋"/>
        </w:rPr>
        <w:t>（3）技术要求</w:t>
      </w:r>
    </w:p>
    <w:p>
      <w:pPr>
        <w:spacing w:line="360" w:lineRule="auto"/>
        <w:ind w:left="480"/>
        <w:rPr>
          <w:rFonts w:cs="仿宋"/>
        </w:rPr>
      </w:pPr>
      <w:r>
        <w:rPr>
          <w:rFonts w:hint="eastAsia" w:cs="仿宋"/>
        </w:rPr>
        <w:t>（4）技术偏差表</w:t>
      </w:r>
    </w:p>
    <w:p>
      <w:pPr>
        <w:pStyle w:val="14"/>
        <w:ind w:left="0" w:leftChars="0" w:firstLine="480"/>
      </w:pPr>
      <w:r>
        <w:rPr>
          <w:rFonts w:hint="eastAsia" w:ascii="宋体" w:hAnsi="宋体" w:cs="仿宋"/>
        </w:rPr>
        <w:t>（5）</w:t>
      </w:r>
      <w:r>
        <w:rPr>
          <w:rFonts w:hint="eastAsia" w:cs="仿宋"/>
        </w:rPr>
        <w:t>供应商</w:t>
      </w:r>
      <w:r>
        <w:rPr>
          <w:rFonts w:hint="eastAsia" w:ascii="宋体" w:hAnsi="宋体" w:cs="仿宋"/>
        </w:rPr>
        <w:t>认为应补充的其它技术资料</w:t>
      </w:r>
    </w:p>
    <w:p>
      <w:pPr>
        <w:pStyle w:val="26"/>
      </w:pPr>
      <w:bookmarkStart w:id="51" w:name="_Toc506105836"/>
      <w:bookmarkStart w:id="52" w:name="_Toc507936030"/>
      <w:bookmarkStart w:id="53" w:name="_Toc406766394"/>
      <w:r>
        <w:rPr>
          <w:rFonts w:hint="eastAsia"/>
        </w:rPr>
        <w:t>3.2 报价</w:t>
      </w:r>
      <w:bookmarkEnd w:id="51"/>
      <w:bookmarkEnd w:id="52"/>
      <w:bookmarkEnd w:id="53"/>
    </w:p>
    <w:p>
      <w:pPr>
        <w:spacing w:line="360" w:lineRule="auto"/>
        <w:ind w:firstLine="480" w:firstLineChars="200"/>
        <w:rPr>
          <w:rFonts w:cs="仿宋"/>
        </w:rPr>
      </w:pPr>
      <w:r>
        <w:rPr>
          <w:rFonts w:hint="eastAsia" w:cs="仿宋"/>
        </w:rPr>
        <w:t>3.2.1 报价方式：总价；</w:t>
      </w:r>
      <w:r>
        <w:rPr>
          <w:rFonts w:hint="eastAsia"/>
        </w:rPr>
        <w:t>报价币种：人民币；报价为13%增值税专用发票价格。</w:t>
      </w:r>
    </w:p>
    <w:p>
      <w:pPr>
        <w:spacing w:line="360" w:lineRule="auto"/>
        <w:ind w:firstLine="480" w:firstLineChars="200"/>
        <w:rPr>
          <w:rFonts w:cs="仿宋"/>
        </w:rPr>
      </w:pPr>
      <w:r>
        <w:rPr>
          <w:rFonts w:hint="eastAsia" w:cs="仿宋"/>
        </w:rPr>
        <w:t>3.2.2 供应商在谈判开始时间前修改报价函中的总报价，应同时修改“报价组成表”中的相应价格。此修改须符合本章第4.3款的有关规定。　</w:t>
      </w:r>
    </w:p>
    <w:p>
      <w:pPr>
        <w:pStyle w:val="26"/>
      </w:pPr>
      <w:bookmarkStart w:id="54" w:name="_Toc507936031"/>
      <w:bookmarkStart w:id="55" w:name="_Toc406766395"/>
      <w:bookmarkStart w:id="56" w:name="_Toc506105837"/>
      <w:r>
        <w:rPr>
          <w:rFonts w:hint="eastAsia"/>
        </w:rPr>
        <w:t>3.3 谈判有效期</w:t>
      </w:r>
      <w:bookmarkEnd w:id="54"/>
      <w:bookmarkEnd w:id="55"/>
      <w:bookmarkEnd w:id="56"/>
    </w:p>
    <w:p>
      <w:pPr>
        <w:spacing w:line="360" w:lineRule="auto"/>
        <w:ind w:firstLine="480" w:firstLineChars="200"/>
        <w:rPr>
          <w:rFonts w:cs="仿宋"/>
        </w:rPr>
      </w:pPr>
      <w:r>
        <w:rPr>
          <w:rFonts w:hint="eastAsia" w:cs="仿宋"/>
        </w:rPr>
        <w:t>3.3.1谈判有效期：详见谈判须知前附表</w:t>
      </w:r>
    </w:p>
    <w:p>
      <w:pPr>
        <w:spacing w:line="360" w:lineRule="auto"/>
        <w:ind w:firstLine="480" w:firstLineChars="200"/>
        <w:rPr>
          <w:rFonts w:cs="仿宋"/>
        </w:rPr>
      </w:pPr>
      <w:r>
        <w:rPr>
          <w:rFonts w:hint="eastAsia" w:cs="仿宋"/>
        </w:rPr>
        <w:t>3.3.2 出现特殊情况需要延长谈判有效期的，采购人以书面形式通知所有供应商延长谈判有效期。供应商同意延长的，应相应延长其谈判保证金的有效期，但不得要求或被允许修改或撤销其响应文件；供应商拒绝延长的，其响应文件失效，但供应商有权收回其谈判保证金。</w:t>
      </w:r>
    </w:p>
    <w:p>
      <w:pPr>
        <w:pStyle w:val="26"/>
      </w:pPr>
      <w:bookmarkStart w:id="57" w:name="_Toc506105838"/>
      <w:bookmarkStart w:id="58" w:name="_Toc406766396"/>
      <w:bookmarkStart w:id="59" w:name="_Toc507936032"/>
      <w:r>
        <w:rPr>
          <w:rFonts w:hint="eastAsia"/>
        </w:rPr>
        <w:t>3.4 谈判保证金</w:t>
      </w:r>
      <w:bookmarkEnd w:id="57"/>
      <w:bookmarkEnd w:id="58"/>
      <w:bookmarkEnd w:id="59"/>
      <w:r>
        <w:rPr>
          <w:rFonts w:hint="eastAsia"/>
        </w:rPr>
        <w:t>：无</w:t>
      </w:r>
    </w:p>
    <w:p>
      <w:pPr>
        <w:pStyle w:val="26"/>
      </w:pPr>
      <w:bookmarkStart w:id="60" w:name="_Toc507936033"/>
      <w:bookmarkStart w:id="61" w:name="_Toc506105839"/>
      <w:r>
        <w:rPr>
          <w:rFonts w:hint="eastAsia"/>
        </w:rPr>
        <w:t>3.5 资格审查资料</w:t>
      </w:r>
      <w:bookmarkEnd w:id="60"/>
      <w:bookmarkEnd w:id="61"/>
    </w:p>
    <w:p>
      <w:pPr>
        <w:spacing w:line="360" w:lineRule="auto"/>
        <w:ind w:firstLine="480" w:firstLineChars="200"/>
        <w:rPr>
          <w:rFonts w:cs="仿宋"/>
        </w:rPr>
      </w:pPr>
      <w:r>
        <w:rPr>
          <w:rFonts w:hint="eastAsia" w:cs="仿宋"/>
        </w:rPr>
        <w:t xml:space="preserve">3.5.1 </w:t>
      </w:r>
      <w:r>
        <w:rPr>
          <w:rFonts w:hint="eastAsia"/>
        </w:rPr>
        <w:t>营业执照、资质证书、体系认证、资信等级、人员资格证书、业绩合同、获奖证书</w:t>
      </w:r>
      <w:r>
        <w:rPr>
          <w:rFonts w:hint="eastAsia" w:cs="仿宋"/>
        </w:rPr>
        <w:t>等材料的复印件。</w:t>
      </w:r>
    </w:p>
    <w:p>
      <w:pPr>
        <w:spacing w:line="360" w:lineRule="auto"/>
        <w:ind w:firstLine="480" w:firstLineChars="200"/>
        <w:rPr>
          <w:rFonts w:cs="仿宋"/>
        </w:rPr>
      </w:pPr>
      <w:r>
        <w:rPr>
          <w:rFonts w:hint="eastAsia" w:cs="仿宋"/>
        </w:rPr>
        <w:t>3.5.2 “近3年完成的业绩情况表”具体要求详见技术部分</w:t>
      </w:r>
    </w:p>
    <w:p>
      <w:pPr>
        <w:spacing w:line="360" w:lineRule="auto"/>
        <w:ind w:firstLine="480" w:firstLineChars="200"/>
        <w:rPr>
          <w:rFonts w:cs="仿宋"/>
        </w:rPr>
      </w:pPr>
      <w:r>
        <w:rPr>
          <w:rFonts w:hint="eastAsia" w:cs="仿宋"/>
        </w:rPr>
        <w:t>3.5.3 “近3年发生的诉讼及仲裁情况”应说明相关情况，并附法院或仲裁机构作出的判决、裁决等有关法律文书复印件。</w:t>
      </w:r>
    </w:p>
    <w:p>
      <w:pPr>
        <w:spacing w:line="360" w:lineRule="auto"/>
        <w:ind w:firstLine="480" w:firstLineChars="200"/>
        <w:rPr>
          <w:rFonts w:cs="仿宋"/>
        </w:rPr>
      </w:pPr>
      <w:r>
        <w:rPr>
          <w:rFonts w:hint="eastAsia" w:cs="仿宋"/>
        </w:rPr>
        <w:t>3.5.4认为有必要提供的其他证明文件。</w:t>
      </w:r>
    </w:p>
    <w:p>
      <w:pPr>
        <w:pStyle w:val="26"/>
      </w:pPr>
      <w:bookmarkStart w:id="62" w:name="_Toc507936034"/>
      <w:bookmarkStart w:id="63" w:name="_Toc506105840"/>
      <w:r>
        <w:rPr>
          <w:rFonts w:hint="eastAsia"/>
        </w:rPr>
        <w:t>3.6 备选方案</w:t>
      </w:r>
      <w:bookmarkEnd w:id="62"/>
      <w:bookmarkEnd w:id="63"/>
    </w:p>
    <w:p>
      <w:pPr>
        <w:spacing w:line="360" w:lineRule="auto"/>
        <w:ind w:firstLine="480" w:firstLineChars="200"/>
        <w:rPr>
          <w:rFonts w:cs="仿宋"/>
        </w:rPr>
      </w:pPr>
      <w:r>
        <w:rPr>
          <w:rFonts w:hint="eastAsia" w:cs="仿宋"/>
        </w:rPr>
        <w:t>3.6.1本次谈判不接受备选方案。</w:t>
      </w:r>
    </w:p>
    <w:p>
      <w:pPr>
        <w:pStyle w:val="26"/>
      </w:pPr>
      <w:bookmarkStart w:id="64" w:name="_Toc507936035"/>
      <w:bookmarkStart w:id="65" w:name="_Toc506105841"/>
      <w:r>
        <w:rPr>
          <w:rFonts w:hint="eastAsia"/>
        </w:rPr>
        <w:t>3.7 响应文件的编制</w:t>
      </w:r>
      <w:bookmarkEnd w:id="64"/>
      <w:bookmarkEnd w:id="65"/>
    </w:p>
    <w:p>
      <w:pPr>
        <w:spacing w:line="360" w:lineRule="auto"/>
        <w:ind w:firstLine="480" w:firstLineChars="200"/>
        <w:rPr>
          <w:rFonts w:cs="仿宋"/>
        </w:rPr>
      </w:pPr>
      <w:r>
        <w:rPr>
          <w:rFonts w:hint="eastAsia" w:cs="仿宋"/>
        </w:rPr>
        <w:t>3.7.1响应文件应按《第五章响应文件格式及内容》要求进行编写。</w:t>
      </w:r>
    </w:p>
    <w:p>
      <w:pPr>
        <w:spacing w:line="360" w:lineRule="auto"/>
        <w:ind w:firstLine="480" w:firstLineChars="200"/>
        <w:rPr>
          <w:rFonts w:cs="仿宋"/>
        </w:rPr>
      </w:pPr>
      <w:r>
        <w:rPr>
          <w:rFonts w:hint="eastAsia" w:cs="仿宋"/>
        </w:rPr>
        <w:t>3.7.2响应文件应当对谈判文件有关交货期、谈判有效期、质量要求、技术要求、采购范围等实质性内容作出响应。</w:t>
      </w:r>
    </w:p>
    <w:p>
      <w:pPr>
        <w:spacing w:line="360" w:lineRule="auto"/>
        <w:ind w:firstLine="480" w:firstLineChars="200"/>
        <w:rPr>
          <w:rFonts w:cs="仿宋"/>
        </w:rPr>
      </w:pPr>
      <w:r>
        <w:rPr>
          <w:rFonts w:hint="eastAsia" w:cs="仿宋"/>
        </w:rPr>
        <w:t>3.7.3响应文件应用不褪色的材料书写或打印，并由法定代表人或其委托代理人签字或盖公章。签字或盖章的具体要求见谈判须知前附表。</w:t>
      </w:r>
    </w:p>
    <w:p>
      <w:pPr>
        <w:spacing w:line="360" w:lineRule="auto"/>
        <w:ind w:firstLine="480" w:firstLineChars="200"/>
        <w:rPr>
          <w:rFonts w:cs="仿宋"/>
        </w:rPr>
      </w:pPr>
      <w:r>
        <w:rPr>
          <w:rFonts w:hint="eastAsia" w:cs="仿宋"/>
        </w:rPr>
        <w:t>3.7.4响应文件正本1份，副本</w:t>
      </w:r>
      <w:r>
        <w:rPr>
          <w:rFonts w:hint="eastAsia" w:cs="仿宋"/>
          <w:lang w:val="en-US" w:eastAsia="zh-CN"/>
        </w:rPr>
        <w:t>2</w:t>
      </w:r>
      <w:r>
        <w:rPr>
          <w:rFonts w:hint="eastAsia" w:cs="仿宋"/>
        </w:rPr>
        <w:t>份。正本和副本的封面上应清楚地标记“正本”或“副本”的字样并加盖公章。当副本和正本不一致时，以正本为准。</w:t>
      </w:r>
    </w:p>
    <w:p>
      <w:pPr>
        <w:spacing w:line="360" w:lineRule="auto"/>
        <w:ind w:firstLine="480" w:firstLineChars="200"/>
        <w:rPr>
          <w:rFonts w:cs="仿宋"/>
        </w:rPr>
      </w:pPr>
      <w:r>
        <w:rPr>
          <w:rFonts w:hint="eastAsia" w:cs="仿宋"/>
        </w:rPr>
        <w:t>3.7.5响应文件的正本与副本应分别装订成册，并编制目录，详见谈判须知前附表。</w:t>
      </w:r>
    </w:p>
    <w:p>
      <w:pPr>
        <w:spacing w:line="360" w:lineRule="auto"/>
        <w:ind w:firstLine="480" w:firstLineChars="200"/>
        <w:rPr>
          <w:rFonts w:cs="仿宋"/>
        </w:rPr>
      </w:pPr>
      <w:r>
        <w:rPr>
          <w:rFonts w:hint="eastAsia" w:cs="仿宋"/>
        </w:rPr>
        <w:t>3.7.6本次谈判须提供应文件电子版（U盘一件），电子版与纸质版需一致，若不一致以纸质版为准。响应文件电子版文件格式为可编辑的Word“*.doc”、“*.docx”或Excel“*.xls”、“*.xlsx”，文字部分格式采用Word“*.doc”、“*.docx”，报价清单部分格式采用Excel“*.xls”、“*.xlsx”。</w:t>
      </w:r>
    </w:p>
    <w:p>
      <w:pPr>
        <w:spacing w:line="360" w:lineRule="auto"/>
        <w:jc w:val="center"/>
        <w:rPr>
          <w:rStyle w:val="24"/>
          <w:rFonts w:ascii="宋体" w:hAnsi="宋体"/>
        </w:rPr>
      </w:pPr>
      <w:r>
        <w:rPr>
          <w:rStyle w:val="24"/>
          <w:rFonts w:hint="eastAsia" w:ascii="宋体" w:hAnsi="宋体"/>
        </w:rPr>
        <w:t>4.</w:t>
      </w:r>
      <w:r>
        <w:rPr>
          <w:rStyle w:val="24"/>
          <w:rFonts w:hint="eastAsia"/>
        </w:rPr>
        <w:t>响应</w:t>
      </w:r>
    </w:p>
    <w:p>
      <w:pPr>
        <w:pStyle w:val="26"/>
      </w:pPr>
      <w:bookmarkStart w:id="66" w:name="_Toc506105844"/>
      <w:bookmarkStart w:id="67" w:name="_Toc507936037"/>
      <w:r>
        <w:rPr>
          <w:rFonts w:hint="eastAsia"/>
        </w:rPr>
        <w:t>4.1 响应文件的递交</w:t>
      </w:r>
      <w:bookmarkEnd w:id="66"/>
      <w:bookmarkEnd w:id="67"/>
    </w:p>
    <w:p>
      <w:pPr>
        <w:spacing w:line="360" w:lineRule="auto"/>
        <w:ind w:firstLine="480" w:firstLineChars="200"/>
        <w:rPr>
          <w:rFonts w:cs="仿宋"/>
        </w:rPr>
      </w:pPr>
      <w:r>
        <w:rPr>
          <w:rFonts w:hint="eastAsia" w:cs="仿宋"/>
        </w:rPr>
        <w:t>上传响应文件的截止时间，详见谈判须知前附表。</w:t>
      </w:r>
    </w:p>
    <w:p>
      <w:pPr>
        <w:pStyle w:val="26"/>
      </w:pPr>
      <w:bookmarkStart w:id="68" w:name="_Toc507936038"/>
      <w:bookmarkStart w:id="69" w:name="_Toc506105845"/>
      <w:r>
        <w:rPr>
          <w:rFonts w:hint="eastAsia"/>
        </w:rPr>
        <w:t>4.2 响应文件的修改与撤回</w:t>
      </w:r>
      <w:bookmarkEnd w:id="68"/>
      <w:bookmarkEnd w:id="69"/>
    </w:p>
    <w:p>
      <w:pPr>
        <w:spacing w:line="360" w:lineRule="auto"/>
        <w:ind w:firstLine="480" w:firstLineChars="200"/>
        <w:rPr>
          <w:rFonts w:cs="仿宋"/>
        </w:rPr>
      </w:pPr>
      <w:r>
        <w:rPr>
          <w:rFonts w:hint="eastAsia" w:cs="仿宋"/>
        </w:rPr>
        <w:t>4.2.1在上传响应文件截止时间前，供应商可以修改或撤回已递交的响应文件，但应以书面形式通知采购人。</w:t>
      </w:r>
    </w:p>
    <w:p>
      <w:pPr>
        <w:spacing w:line="360" w:lineRule="auto"/>
        <w:ind w:firstLine="480" w:firstLineChars="200"/>
        <w:rPr>
          <w:rFonts w:cs="仿宋"/>
        </w:rPr>
      </w:pPr>
      <w:r>
        <w:rPr>
          <w:rFonts w:hint="eastAsia" w:cs="仿宋"/>
        </w:rPr>
        <w:t>4.2.2供应商修改或撤回已上传响应文件应按要求签字或盖章。</w:t>
      </w:r>
    </w:p>
    <w:p>
      <w:pPr>
        <w:spacing w:line="360" w:lineRule="auto"/>
        <w:ind w:firstLine="480" w:firstLineChars="200"/>
        <w:rPr>
          <w:rFonts w:cs="仿宋"/>
        </w:rPr>
      </w:pPr>
      <w:r>
        <w:rPr>
          <w:rFonts w:hint="eastAsia" w:cs="仿宋"/>
        </w:rPr>
        <w:t>4.2.3修改的内容为响应文件的组成部分。修改的响应文件应按照本章第3条、第4条规定进行编制、密封、标记和递交，并标明“修改”字样。</w:t>
      </w:r>
    </w:p>
    <w:p>
      <w:pPr>
        <w:pStyle w:val="22"/>
        <w:rPr>
          <w:rStyle w:val="24"/>
          <w:rFonts w:eastAsia="宋体"/>
          <w:b/>
          <w:bCs/>
        </w:rPr>
      </w:pPr>
      <w:bookmarkStart w:id="70" w:name="_Toc507936039"/>
      <w:bookmarkStart w:id="71" w:name="_Toc506105846"/>
      <w:r>
        <w:rPr>
          <w:rStyle w:val="24"/>
          <w:rFonts w:hint="eastAsia"/>
          <w:b/>
          <w:bCs/>
        </w:rPr>
        <w:t>5.</w:t>
      </w:r>
      <w:bookmarkEnd w:id="70"/>
      <w:bookmarkEnd w:id="71"/>
      <w:r>
        <w:rPr>
          <w:rStyle w:val="24"/>
          <w:rFonts w:hint="eastAsia" w:eastAsia="宋体"/>
          <w:b/>
          <w:bCs/>
        </w:rPr>
        <w:t>谈判</w:t>
      </w:r>
    </w:p>
    <w:p>
      <w:pPr>
        <w:pStyle w:val="26"/>
        <w:rPr>
          <w:rFonts w:eastAsia="宋体"/>
        </w:rPr>
      </w:pPr>
      <w:bookmarkStart w:id="72" w:name="_Toc506105847"/>
      <w:bookmarkStart w:id="73" w:name="_Toc507936040"/>
      <w:r>
        <w:rPr>
          <w:rFonts w:hint="eastAsia"/>
        </w:rPr>
        <w:t xml:space="preserve">5.1 </w:t>
      </w:r>
      <w:bookmarkEnd w:id="72"/>
      <w:bookmarkEnd w:id="73"/>
      <w:bookmarkStart w:id="74" w:name="_Toc506105848"/>
      <w:r>
        <w:rPr>
          <w:rFonts w:hint="eastAsia"/>
        </w:rPr>
        <w:t>谈判</w:t>
      </w:r>
    </w:p>
    <w:p>
      <w:pPr>
        <w:spacing w:line="360" w:lineRule="auto"/>
        <w:rPr>
          <w:rFonts w:cs="仿宋"/>
        </w:rPr>
      </w:pPr>
      <w:r>
        <w:rPr>
          <w:rFonts w:hint="eastAsia"/>
        </w:rPr>
        <w:t>谈判时间和方式：</w:t>
      </w:r>
      <w:r>
        <w:rPr>
          <w:rFonts w:hint="eastAsia" w:cs="仿宋"/>
        </w:rPr>
        <w:t>详见谈判须知前附表。</w:t>
      </w:r>
    </w:p>
    <w:bookmarkEnd w:id="74"/>
    <w:p>
      <w:pPr>
        <w:pStyle w:val="22"/>
        <w:rPr>
          <w:rStyle w:val="24"/>
          <w:rFonts w:eastAsia="宋体"/>
          <w:b/>
          <w:bCs/>
        </w:rPr>
      </w:pPr>
      <w:bookmarkStart w:id="75" w:name="_Toc507936041"/>
      <w:bookmarkStart w:id="76" w:name="_Toc506105849"/>
      <w:r>
        <w:rPr>
          <w:rStyle w:val="24"/>
          <w:rFonts w:hint="eastAsia"/>
          <w:b/>
          <w:bCs/>
        </w:rPr>
        <w:t>6.</w:t>
      </w:r>
      <w:bookmarkEnd w:id="75"/>
      <w:bookmarkEnd w:id="76"/>
      <w:r>
        <w:rPr>
          <w:rStyle w:val="24"/>
          <w:rFonts w:hint="eastAsia" w:eastAsia="宋体"/>
          <w:b/>
          <w:bCs/>
        </w:rPr>
        <w:t>评审</w:t>
      </w:r>
    </w:p>
    <w:p>
      <w:pPr>
        <w:pStyle w:val="26"/>
      </w:pPr>
      <w:bookmarkStart w:id="77" w:name="_Toc506105850"/>
      <w:bookmarkStart w:id="78" w:name="_Toc507936042"/>
      <w:r>
        <w:rPr>
          <w:rFonts w:hint="eastAsia"/>
        </w:rPr>
        <w:t>6.1 评审委员会</w:t>
      </w:r>
      <w:bookmarkEnd w:id="77"/>
      <w:bookmarkEnd w:id="78"/>
    </w:p>
    <w:p>
      <w:pPr>
        <w:spacing w:line="360" w:lineRule="auto"/>
        <w:ind w:firstLine="480" w:firstLineChars="200"/>
        <w:rPr>
          <w:rFonts w:cs="仿宋"/>
        </w:rPr>
      </w:pPr>
      <w:r>
        <w:rPr>
          <w:rFonts w:hint="eastAsia" w:cs="仿宋"/>
        </w:rPr>
        <w:t>评审由采购人依法组建的评审委员会负责。评审委员会由采购人熟悉相关业务的代表，以及有关技术、经济等方面的专家组成，评审委员会成员人数为5人及以上单数。</w:t>
      </w:r>
    </w:p>
    <w:p>
      <w:pPr>
        <w:pStyle w:val="26"/>
      </w:pPr>
      <w:bookmarkStart w:id="79" w:name="_Toc507936043"/>
      <w:bookmarkStart w:id="80" w:name="_Toc506105851"/>
      <w:r>
        <w:rPr>
          <w:rFonts w:hint="eastAsia"/>
        </w:rPr>
        <w:t>6.2 评</w:t>
      </w:r>
      <w:r>
        <w:rPr>
          <w:rFonts w:hint="eastAsia" w:cs="仿宋"/>
        </w:rPr>
        <w:t>审</w:t>
      </w:r>
      <w:r>
        <w:rPr>
          <w:rFonts w:hint="eastAsia"/>
        </w:rPr>
        <w:t>原则</w:t>
      </w:r>
      <w:bookmarkEnd w:id="79"/>
      <w:bookmarkEnd w:id="80"/>
    </w:p>
    <w:p>
      <w:pPr>
        <w:pStyle w:val="21"/>
        <w:spacing w:before="156"/>
        <w:jc w:val="both"/>
        <w:rPr>
          <w:rFonts w:ascii="宋体" w:hAnsi="宋体" w:eastAsia="宋体" w:cs="仿宋"/>
          <w:b w:val="0"/>
          <w:kern w:val="0"/>
          <w:sz w:val="24"/>
          <w:szCs w:val="24"/>
        </w:rPr>
      </w:pPr>
      <w:r>
        <w:rPr>
          <w:rFonts w:hint="eastAsia" w:ascii="宋体" w:hAnsi="宋体" w:eastAsia="宋体" w:cs="仿宋"/>
          <w:b w:val="0"/>
          <w:kern w:val="0"/>
          <w:sz w:val="24"/>
          <w:szCs w:val="24"/>
        </w:rPr>
        <w:t>评审活动遵循公平、公正、科学和择优的原则。</w:t>
      </w:r>
    </w:p>
    <w:p>
      <w:pPr>
        <w:pStyle w:val="26"/>
      </w:pPr>
      <w:bookmarkStart w:id="81" w:name="_Toc506105852"/>
      <w:bookmarkStart w:id="82" w:name="_Toc507936044"/>
      <w:r>
        <w:rPr>
          <w:rFonts w:hint="eastAsia"/>
        </w:rPr>
        <w:t>6.3 评</w:t>
      </w:r>
      <w:r>
        <w:rPr>
          <w:rFonts w:hint="eastAsia" w:cs="仿宋"/>
        </w:rPr>
        <w:t>审</w:t>
      </w:r>
      <w:r>
        <w:rPr>
          <w:rFonts w:hint="eastAsia"/>
        </w:rPr>
        <w:t>方法</w:t>
      </w:r>
      <w:bookmarkEnd w:id="81"/>
      <w:bookmarkEnd w:id="82"/>
    </w:p>
    <w:p>
      <w:pPr>
        <w:pStyle w:val="21"/>
        <w:spacing w:before="156"/>
        <w:jc w:val="both"/>
        <w:rPr>
          <w:rFonts w:ascii="宋体" w:hAnsi="宋体" w:eastAsia="宋体" w:cs="仿宋"/>
          <w:b w:val="0"/>
          <w:kern w:val="0"/>
          <w:sz w:val="24"/>
          <w:szCs w:val="24"/>
        </w:rPr>
      </w:pPr>
      <w:bookmarkStart w:id="83" w:name="_Toc506886218"/>
      <w:r>
        <w:rPr>
          <w:rFonts w:hint="eastAsia" w:ascii="宋体" w:hAnsi="宋体" w:eastAsia="宋体" w:cs="仿宋"/>
          <w:b w:val="0"/>
          <w:kern w:val="0"/>
          <w:sz w:val="24"/>
          <w:szCs w:val="24"/>
        </w:rPr>
        <w:t xml:space="preserve">    按</w:t>
      </w:r>
      <w:r>
        <w:rPr>
          <w:rFonts w:hint="eastAsia" w:ascii="宋体" w:hAnsi="宋体" w:eastAsia="宋体" w:cs="仿宋"/>
          <w:b w:val="0"/>
          <w:kern w:val="0"/>
          <w:sz w:val="24"/>
          <w:szCs w:val="24"/>
          <w:lang w:val="en-US" w:eastAsia="zh-CN"/>
        </w:rPr>
        <w:t>低价</w:t>
      </w:r>
      <w:r>
        <w:rPr>
          <w:rFonts w:hint="eastAsia" w:ascii="宋体" w:hAnsi="宋体" w:eastAsia="宋体" w:cs="仿宋"/>
          <w:b w:val="0"/>
          <w:kern w:val="0"/>
          <w:sz w:val="24"/>
          <w:szCs w:val="24"/>
        </w:rPr>
        <w:t>评审法进行评审。</w:t>
      </w:r>
      <w:bookmarkEnd w:id="83"/>
    </w:p>
    <w:p>
      <w:pPr>
        <w:pStyle w:val="26"/>
      </w:pPr>
      <w:bookmarkStart w:id="84" w:name="_Toc507936045"/>
      <w:bookmarkStart w:id="85" w:name="_Toc506105853"/>
      <w:r>
        <w:rPr>
          <w:rFonts w:hint="eastAsia"/>
        </w:rPr>
        <w:t>6.4 评</w:t>
      </w:r>
      <w:r>
        <w:rPr>
          <w:rFonts w:hint="eastAsia" w:cs="仿宋"/>
        </w:rPr>
        <w:t>审</w:t>
      </w:r>
      <w:r>
        <w:rPr>
          <w:rFonts w:hint="eastAsia"/>
        </w:rPr>
        <w:t>程序及内容</w:t>
      </w:r>
      <w:bookmarkEnd w:id="84"/>
      <w:bookmarkEnd w:id="85"/>
    </w:p>
    <w:p>
      <w:pPr>
        <w:spacing w:line="360" w:lineRule="auto"/>
        <w:ind w:firstLine="480" w:firstLineChars="200"/>
        <w:rPr>
          <w:rFonts w:cs="仿宋"/>
        </w:rPr>
      </w:pPr>
      <w:r>
        <w:rPr>
          <w:rFonts w:hint="eastAsia" w:cs="仿宋"/>
        </w:rPr>
        <w:t>6.4.1响应文件初步评审</w:t>
      </w:r>
    </w:p>
    <w:p>
      <w:pPr>
        <w:spacing w:line="360" w:lineRule="auto"/>
        <w:ind w:firstLine="480" w:firstLineChars="200"/>
        <w:rPr>
          <w:rFonts w:cs="仿宋"/>
        </w:rPr>
      </w:pPr>
      <w:r>
        <w:rPr>
          <w:rFonts w:hint="eastAsia" w:cs="仿宋"/>
        </w:rPr>
        <w:t>6.4.1.1资格审查---是否满足对供应商的资格要求。</w:t>
      </w:r>
    </w:p>
    <w:p>
      <w:pPr>
        <w:spacing w:line="360" w:lineRule="auto"/>
        <w:ind w:firstLine="480" w:firstLineChars="200"/>
        <w:rPr>
          <w:rFonts w:cs="仿宋"/>
        </w:rPr>
      </w:pPr>
      <w:r>
        <w:rPr>
          <w:rFonts w:hint="eastAsia" w:cs="仿宋"/>
        </w:rPr>
        <w:t>6.4.1.2报价及报价组成表有计算或汇总错误时，按以下原则修正：</w:t>
      </w:r>
    </w:p>
    <w:p>
      <w:pPr>
        <w:spacing w:line="360" w:lineRule="auto"/>
        <w:ind w:firstLine="480" w:firstLineChars="200"/>
        <w:rPr>
          <w:rFonts w:cs="仿宋"/>
        </w:rPr>
      </w:pPr>
      <w:r>
        <w:rPr>
          <w:rFonts w:hint="eastAsia" w:cs="仿宋"/>
        </w:rPr>
        <w:t>（1）报价清单中的单价乘数量的乘积与该项目的合价不符时，应以单价为准，改正合价。</w:t>
      </w:r>
    </w:p>
    <w:p>
      <w:pPr>
        <w:spacing w:line="360" w:lineRule="auto"/>
        <w:ind w:firstLine="480" w:firstLineChars="200"/>
        <w:rPr>
          <w:rFonts w:cs="仿宋"/>
        </w:rPr>
      </w:pPr>
      <w:r>
        <w:rPr>
          <w:rFonts w:hint="eastAsia" w:cs="仿宋"/>
        </w:rPr>
        <w:t>（2）若报价汇总表中的金额与相应的各分项报价清单中的合计金额不符时，以修正后的各分项报价清单中的合计金额为准，改正总报价。</w:t>
      </w:r>
    </w:p>
    <w:p>
      <w:pPr>
        <w:spacing w:line="360" w:lineRule="auto"/>
        <w:ind w:firstLine="480" w:firstLineChars="200"/>
        <w:rPr>
          <w:rFonts w:cs="仿宋"/>
        </w:rPr>
      </w:pPr>
      <w:r>
        <w:rPr>
          <w:rFonts w:hint="eastAsia" w:cs="仿宋"/>
        </w:rPr>
        <w:t>（3）评审委员会按以上原则对报价进行修正，修正的价格经供应商书面确认后具有约束力。</w:t>
      </w:r>
    </w:p>
    <w:p>
      <w:pPr>
        <w:spacing w:line="360" w:lineRule="auto"/>
        <w:ind w:firstLine="480" w:firstLineChars="200"/>
        <w:rPr>
          <w:rFonts w:cs="仿宋"/>
        </w:rPr>
      </w:pPr>
      <w:r>
        <w:rPr>
          <w:rFonts w:hint="eastAsia" w:cs="仿宋"/>
        </w:rPr>
        <w:t>6.4.1.3对需要文件进行审查，有以下情形之一的，为重大偏差，其响应文件符合性审查不通过</w:t>
      </w:r>
      <w:r>
        <w:rPr>
          <w:rFonts w:hint="eastAsia" w:cs="仿宋"/>
          <w:bCs/>
        </w:rPr>
        <w:t>作无效处理</w:t>
      </w:r>
      <w:r>
        <w:rPr>
          <w:rFonts w:hint="eastAsia" w:cs="仿宋"/>
        </w:rPr>
        <w:t>，不再进行详细评审：</w:t>
      </w:r>
    </w:p>
    <w:p>
      <w:pPr>
        <w:spacing w:line="360" w:lineRule="auto"/>
        <w:ind w:firstLine="480" w:firstLineChars="200"/>
        <w:rPr>
          <w:rFonts w:cs="仿宋"/>
          <w:bCs/>
        </w:rPr>
      </w:pPr>
      <w:r>
        <w:rPr>
          <w:rFonts w:hint="eastAsia" w:cs="仿宋"/>
          <w:bCs/>
        </w:rPr>
        <w:t>（1）提供的资格审查资料不满足谈判文件要求的；</w:t>
      </w:r>
    </w:p>
    <w:p>
      <w:pPr>
        <w:spacing w:line="360" w:lineRule="auto"/>
        <w:ind w:firstLine="480" w:firstLineChars="200"/>
        <w:rPr>
          <w:rFonts w:cs="仿宋"/>
          <w:bCs/>
        </w:rPr>
      </w:pPr>
      <w:r>
        <w:rPr>
          <w:rFonts w:hint="eastAsia" w:cs="仿宋"/>
          <w:bCs/>
        </w:rPr>
        <w:t>（2）没有按照谈判文件要求缴纳谈判保证金或提供银行保函的；</w:t>
      </w:r>
    </w:p>
    <w:p>
      <w:pPr>
        <w:spacing w:line="360" w:lineRule="auto"/>
        <w:ind w:firstLine="480" w:firstLineChars="200"/>
        <w:rPr>
          <w:rFonts w:cs="仿宋"/>
          <w:bCs/>
        </w:rPr>
      </w:pPr>
      <w:r>
        <w:rPr>
          <w:rFonts w:hint="eastAsia" w:cs="仿宋"/>
          <w:bCs/>
        </w:rPr>
        <w:t>（3）响应文件未按谈判文件要求盖章和签署的；</w:t>
      </w:r>
    </w:p>
    <w:p>
      <w:pPr>
        <w:spacing w:line="360" w:lineRule="auto"/>
        <w:ind w:firstLine="480" w:firstLineChars="200"/>
        <w:rPr>
          <w:rFonts w:cs="仿宋"/>
          <w:bCs/>
        </w:rPr>
      </w:pPr>
      <w:r>
        <w:rPr>
          <w:rFonts w:hint="eastAsia" w:cs="仿宋"/>
          <w:bCs/>
        </w:rPr>
        <w:t>（4）经澄清，对报价的错误不接受修正的；</w:t>
      </w:r>
    </w:p>
    <w:p>
      <w:pPr>
        <w:spacing w:line="360" w:lineRule="auto"/>
        <w:ind w:firstLine="480" w:firstLineChars="200"/>
        <w:rPr>
          <w:rFonts w:cs="仿宋"/>
          <w:bCs/>
        </w:rPr>
      </w:pPr>
      <w:r>
        <w:rPr>
          <w:rFonts w:hint="eastAsia" w:cs="仿宋"/>
          <w:bCs/>
        </w:rPr>
        <w:t>（5）对采购范围和工作内容有实质性偏差的；</w:t>
      </w:r>
    </w:p>
    <w:p>
      <w:pPr>
        <w:spacing w:line="360" w:lineRule="auto"/>
        <w:ind w:firstLine="480" w:firstLineChars="200"/>
        <w:rPr>
          <w:rFonts w:cs="仿宋"/>
          <w:bCs/>
        </w:rPr>
      </w:pPr>
      <w:r>
        <w:rPr>
          <w:rFonts w:hint="eastAsia" w:cs="仿宋"/>
          <w:bCs/>
        </w:rPr>
        <w:t>（6）主要性能指标达不到谈判文件要求的</w:t>
      </w:r>
    </w:p>
    <w:p>
      <w:pPr>
        <w:spacing w:line="360" w:lineRule="auto"/>
        <w:ind w:firstLine="480" w:firstLineChars="200"/>
        <w:rPr>
          <w:rFonts w:cs="仿宋"/>
          <w:bCs/>
        </w:rPr>
      </w:pPr>
      <w:r>
        <w:rPr>
          <w:rFonts w:hint="eastAsia" w:cs="仿宋"/>
          <w:bCs/>
        </w:rPr>
        <w:t>（7））有违反法律法规、弄虚作假的。</w:t>
      </w:r>
    </w:p>
    <w:p>
      <w:pPr>
        <w:spacing w:line="360" w:lineRule="auto"/>
        <w:ind w:firstLine="480" w:firstLineChars="200"/>
        <w:rPr>
          <w:rFonts w:cs="仿宋"/>
        </w:rPr>
      </w:pPr>
      <w:r>
        <w:rPr>
          <w:rFonts w:hint="eastAsia" w:cs="仿宋"/>
        </w:rPr>
        <w:t>6.4.1.4响应文件澄清</w:t>
      </w:r>
    </w:p>
    <w:p>
      <w:pPr>
        <w:spacing w:line="360" w:lineRule="auto"/>
        <w:ind w:firstLine="480" w:firstLineChars="200"/>
        <w:rPr>
          <w:rFonts w:cs="仿宋"/>
        </w:rPr>
      </w:pPr>
      <w:r>
        <w:rPr>
          <w:rFonts w:hint="eastAsia" w:cs="仿宋"/>
        </w:rPr>
        <w:t>（1）响应文件中有含义不明确的内容、明显文字或者计算错误，评审委员会认为需要供应商做出必要的澄清、说明、或者对细微偏差进行补正的，提出澄清问题。</w:t>
      </w:r>
    </w:p>
    <w:p>
      <w:pPr>
        <w:spacing w:line="360" w:lineRule="auto"/>
        <w:ind w:firstLine="480" w:firstLineChars="200"/>
        <w:rPr>
          <w:rFonts w:cs="仿宋"/>
        </w:rPr>
      </w:pPr>
      <w:r>
        <w:rPr>
          <w:rFonts w:hint="eastAsia" w:cs="仿宋"/>
        </w:rPr>
        <w:t>（2）评审委员会的澄清问题不得要求或提出对响应文件实质性内容进行修改，澄清问题由评审委员会主任确认后发出。</w:t>
      </w:r>
    </w:p>
    <w:p>
      <w:pPr>
        <w:spacing w:line="360" w:lineRule="auto"/>
        <w:ind w:firstLine="480" w:firstLineChars="200"/>
        <w:rPr>
          <w:rFonts w:cs="仿宋"/>
        </w:rPr>
      </w:pPr>
      <w:r>
        <w:rPr>
          <w:rFonts w:hint="eastAsia" w:cs="仿宋"/>
        </w:rPr>
        <w:t>（3）供应商的答复由其授权代表签字、加盖公章、签署日期后按要求发送，不得对原响应文件实质性内容进行修改，供应商的书面澄清、说明和补正属于响应文件的组成部分。</w:t>
      </w:r>
    </w:p>
    <w:p>
      <w:pPr>
        <w:spacing w:line="360" w:lineRule="auto"/>
        <w:ind w:firstLine="480" w:firstLineChars="200"/>
        <w:rPr>
          <w:rFonts w:cs="仿宋"/>
        </w:rPr>
      </w:pPr>
      <w:r>
        <w:rPr>
          <w:rFonts w:hint="eastAsia" w:cs="仿宋"/>
        </w:rPr>
        <w:t>（4）评审委员会不接受供应商主动提出的澄清、说明。</w:t>
      </w:r>
    </w:p>
    <w:p>
      <w:pPr>
        <w:spacing w:line="360" w:lineRule="auto"/>
        <w:ind w:firstLine="480" w:firstLineChars="200"/>
        <w:rPr>
          <w:rFonts w:cs="仿宋"/>
        </w:rPr>
      </w:pPr>
      <w:r>
        <w:rPr>
          <w:rFonts w:hint="eastAsia" w:cs="仿宋"/>
        </w:rPr>
        <w:t>（5）评审委员会的澄清问题和供应商的答复均以书面方式进行。</w:t>
      </w:r>
    </w:p>
    <w:p>
      <w:pPr>
        <w:spacing w:line="360" w:lineRule="auto"/>
        <w:ind w:firstLine="480" w:firstLineChars="200"/>
        <w:rPr>
          <w:rFonts w:cs="仿宋"/>
        </w:rPr>
      </w:pPr>
      <w:r>
        <w:rPr>
          <w:rFonts w:hint="eastAsia" w:cs="仿宋"/>
        </w:rPr>
        <w:t>6.4.2响应文件详细评审</w:t>
      </w:r>
    </w:p>
    <w:p>
      <w:pPr>
        <w:spacing w:line="360" w:lineRule="auto"/>
        <w:ind w:firstLine="480" w:firstLineChars="200"/>
        <w:rPr>
          <w:rFonts w:cs="仿宋"/>
        </w:rPr>
      </w:pPr>
      <w:r>
        <w:rPr>
          <w:rFonts w:hint="eastAsia" w:cs="仿宋"/>
        </w:rPr>
        <w:t>评审委员会成员对通过初步评审的响应文件进行详细评审与打分排序。</w:t>
      </w:r>
    </w:p>
    <w:p>
      <w:pPr>
        <w:spacing w:line="360" w:lineRule="auto"/>
        <w:ind w:firstLine="480" w:firstLineChars="200"/>
        <w:rPr>
          <w:rFonts w:cs="仿宋"/>
        </w:rPr>
      </w:pPr>
      <w:r>
        <w:rPr>
          <w:rFonts w:hint="eastAsia" w:cs="仿宋"/>
        </w:rPr>
        <w:t>6.4.3评审结果</w:t>
      </w:r>
    </w:p>
    <w:p>
      <w:pPr>
        <w:spacing w:line="360" w:lineRule="auto"/>
        <w:ind w:firstLine="480" w:firstLineChars="200"/>
        <w:rPr>
          <w:rFonts w:cs="仿宋"/>
        </w:rPr>
      </w:pPr>
      <w:r>
        <w:rPr>
          <w:rFonts w:hint="eastAsia" w:cs="仿宋"/>
        </w:rPr>
        <w:t>6.4.3.1评审委员会按照评审办法推荐成交候选人，具体的成交候选人数量见第三章5节2款。</w:t>
      </w:r>
    </w:p>
    <w:p>
      <w:pPr>
        <w:spacing w:line="360" w:lineRule="auto"/>
        <w:ind w:firstLine="480" w:firstLineChars="200"/>
        <w:rPr>
          <w:rFonts w:cs="仿宋"/>
        </w:rPr>
      </w:pPr>
      <w:r>
        <w:rPr>
          <w:rFonts w:hint="eastAsia" w:cs="仿宋"/>
        </w:rPr>
        <w:t>6.4.3.2评审委员会完成评审后，向采购人提交评审报告。</w:t>
      </w:r>
    </w:p>
    <w:p>
      <w:pPr>
        <w:pStyle w:val="22"/>
        <w:rPr>
          <w:rStyle w:val="24"/>
          <w:b/>
          <w:bCs/>
        </w:rPr>
      </w:pPr>
      <w:bookmarkStart w:id="86" w:name="_Toc507936046"/>
      <w:bookmarkStart w:id="87" w:name="_Toc506105854"/>
      <w:r>
        <w:rPr>
          <w:rStyle w:val="24"/>
          <w:rFonts w:hint="eastAsia"/>
          <w:b/>
          <w:bCs/>
        </w:rPr>
        <w:t>7.合同授予</w:t>
      </w:r>
      <w:bookmarkEnd w:id="86"/>
      <w:bookmarkEnd w:id="87"/>
    </w:p>
    <w:p>
      <w:pPr>
        <w:pStyle w:val="26"/>
      </w:pPr>
      <w:bookmarkStart w:id="88" w:name="_Toc506105855"/>
      <w:bookmarkStart w:id="89" w:name="_Toc507936047"/>
      <w:r>
        <w:rPr>
          <w:rFonts w:hint="eastAsia"/>
        </w:rPr>
        <w:t>7.1成交方式</w:t>
      </w:r>
      <w:bookmarkEnd w:id="88"/>
      <w:bookmarkEnd w:id="89"/>
    </w:p>
    <w:p>
      <w:pPr>
        <w:spacing w:line="360" w:lineRule="auto"/>
        <w:ind w:firstLine="480"/>
        <w:rPr>
          <w:rFonts w:cs="仿宋"/>
        </w:rPr>
      </w:pPr>
      <w:r>
        <w:rPr>
          <w:rFonts w:hint="eastAsia" w:cs="仿宋"/>
        </w:rPr>
        <w:t>采购人根据评审报告中推荐的成交人候选人择优选定成交人。</w:t>
      </w:r>
    </w:p>
    <w:p>
      <w:pPr>
        <w:pStyle w:val="26"/>
      </w:pPr>
      <w:bookmarkStart w:id="90" w:name="_Toc507936048"/>
      <w:bookmarkStart w:id="91" w:name="_Toc506105856"/>
      <w:r>
        <w:rPr>
          <w:rFonts w:hint="eastAsia"/>
        </w:rPr>
        <w:t>7.2成交通知</w:t>
      </w:r>
      <w:bookmarkEnd w:id="90"/>
      <w:bookmarkEnd w:id="91"/>
    </w:p>
    <w:p>
      <w:pPr>
        <w:spacing w:line="360" w:lineRule="auto"/>
        <w:ind w:firstLine="480" w:firstLineChars="200"/>
        <w:rPr>
          <w:rFonts w:cs="仿宋"/>
        </w:rPr>
      </w:pPr>
      <w:r>
        <w:rPr>
          <w:rFonts w:hint="eastAsia" w:cs="仿宋"/>
        </w:rPr>
        <w:t>成交结果通过</w:t>
      </w:r>
      <w:r>
        <w:rPr>
          <w:rFonts w:hint="eastAsia"/>
        </w:rPr>
        <w:t>济钢集团有限公司阳光购销平台（网址：</w:t>
      </w:r>
      <w:r>
        <w:fldChar w:fldCharType="begin"/>
      </w:r>
      <w:r>
        <w:instrText xml:space="preserve"> HYPERLINK "http://bidding.jigang.com.cn" </w:instrText>
      </w:r>
      <w:r>
        <w:fldChar w:fldCharType="separate"/>
      </w:r>
      <w:r>
        <w:rPr>
          <w:rFonts w:hint="eastAsia"/>
        </w:rPr>
        <w:t>http://bidding.jigang.com.cn</w:t>
      </w:r>
      <w:r>
        <w:rPr>
          <w:rFonts w:hint="eastAsia"/>
        </w:rPr>
        <w:fldChar w:fldCharType="end"/>
      </w:r>
      <w:r>
        <w:rPr>
          <w:rFonts w:hint="eastAsia"/>
        </w:rPr>
        <w:t xml:space="preserve">/） </w:t>
      </w:r>
      <w:r>
        <w:rPr>
          <w:rFonts w:hint="eastAsia" w:cs="仿宋"/>
        </w:rPr>
        <w:t>公示三天。公示期结束后，采购人以书面形式向成交人发出成交通知书</w:t>
      </w:r>
    </w:p>
    <w:p>
      <w:pPr>
        <w:pStyle w:val="26"/>
      </w:pPr>
      <w:bookmarkStart w:id="92" w:name="_Toc506105857"/>
      <w:bookmarkStart w:id="93" w:name="_Toc507936049"/>
      <w:r>
        <w:rPr>
          <w:rFonts w:hint="eastAsia"/>
        </w:rPr>
        <w:t>7.3履约担保</w:t>
      </w:r>
      <w:bookmarkEnd w:id="92"/>
      <w:bookmarkEnd w:id="93"/>
    </w:p>
    <w:p>
      <w:pPr>
        <w:spacing w:line="360" w:lineRule="auto"/>
        <w:ind w:firstLine="480" w:firstLineChars="200"/>
        <w:rPr>
          <w:rFonts w:cs="仿宋"/>
        </w:rPr>
      </w:pPr>
      <w:r>
        <w:rPr>
          <w:rFonts w:hint="eastAsia" w:cs="仿宋"/>
        </w:rPr>
        <w:t>7.4.1 签订合同前，成交人应按谈判须知前附表规定向采购人提交履约担保。</w:t>
      </w:r>
    </w:p>
    <w:p>
      <w:pPr>
        <w:spacing w:line="360" w:lineRule="auto"/>
        <w:ind w:firstLine="480" w:firstLineChars="200"/>
        <w:rPr>
          <w:rFonts w:cs="仿宋"/>
          <w:bCs/>
        </w:rPr>
      </w:pPr>
      <w:r>
        <w:rPr>
          <w:rFonts w:hint="eastAsia" w:cs="仿宋"/>
          <w:bCs/>
        </w:rPr>
        <w:t xml:space="preserve">7.4.2 </w:t>
      </w:r>
      <w:r>
        <w:rPr>
          <w:rFonts w:hint="eastAsia" w:cs="仿宋"/>
        </w:rPr>
        <w:t>成交</w:t>
      </w:r>
      <w:r>
        <w:rPr>
          <w:rFonts w:hint="eastAsia" w:cs="仿宋"/>
          <w:bCs/>
        </w:rPr>
        <w:t>人不能按</w:t>
      </w:r>
      <w:r>
        <w:rPr>
          <w:rFonts w:hint="eastAsia" w:cs="仿宋"/>
        </w:rPr>
        <w:t>谈判公告规定</w:t>
      </w:r>
      <w:r>
        <w:rPr>
          <w:rFonts w:hint="eastAsia" w:cs="仿宋"/>
          <w:bCs/>
        </w:rPr>
        <w:t>要求提交履约担保的，视为放弃</w:t>
      </w:r>
      <w:r>
        <w:rPr>
          <w:rFonts w:hint="eastAsia" w:cs="仿宋"/>
        </w:rPr>
        <w:t>成交</w:t>
      </w:r>
      <w:r>
        <w:rPr>
          <w:rFonts w:hint="eastAsia" w:cs="仿宋"/>
          <w:bCs/>
        </w:rPr>
        <w:t>，其谈判保证金不予退还，给采购人造成的损失超过谈判保证金数额的，</w:t>
      </w:r>
      <w:r>
        <w:rPr>
          <w:rFonts w:hint="eastAsia" w:cs="仿宋"/>
        </w:rPr>
        <w:t>成交</w:t>
      </w:r>
      <w:r>
        <w:rPr>
          <w:rFonts w:hint="eastAsia" w:cs="仿宋"/>
          <w:bCs/>
        </w:rPr>
        <w:t>人还应当对超过部分予以赔偿。</w:t>
      </w:r>
    </w:p>
    <w:p>
      <w:pPr>
        <w:pStyle w:val="22"/>
        <w:rPr>
          <w:rStyle w:val="24"/>
          <w:rFonts w:eastAsia="宋体"/>
          <w:b/>
          <w:bCs/>
        </w:rPr>
      </w:pPr>
      <w:bookmarkStart w:id="94" w:name="_Toc507936051"/>
      <w:bookmarkStart w:id="95" w:name="_Toc506105859"/>
      <w:r>
        <w:rPr>
          <w:rStyle w:val="24"/>
          <w:rFonts w:hint="eastAsia"/>
          <w:b/>
          <w:bCs/>
        </w:rPr>
        <w:t>8.重新</w:t>
      </w:r>
      <w:bookmarkEnd w:id="94"/>
      <w:bookmarkEnd w:id="95"/>
      <w:bookmarkStart w:id="96" w:name="_Toc506105860"/>
      <w:r>
        <w:rPr>
          <w:rStyle w:val="24"/>
          <w:rFonts w:hint="eastAsia" w:eastAsia="宋体"/>
          <w:b/>
          <w:bCs/>
        </w:rPr>
        <w:t>谈判</w:t>
      </w:r>
    </w:p>
    <w:bookmarkEnd w:id="96"/>
    <w:p>
      <w:pPr>
        <w:pStyle w:val="26"/>
        <w:rPr>
          <w:rFonts w:eastAsia="宋体"/>
        </w:rPr>
      </w:pPr>
      <w:bookmarkStart w:id="97" w:name="_Toc507936052"/>
      <w:r>
        <w:rPr>
          <w:rFonts w:hint="eastAsia"/>
        </w:rPr>
        <w:t>8.1重新</w:t>
      </w:r>
      <w:bookmarkEnd w:id="97"/>
      <w:r>
        <w:rPr>
          <w:rFonts w:hint="eastAsia"/>
        </w:rPr>
        <w:t>谈判</w:t>
      </w:r>
    </w:p>
    <w:p>
      <w:pPr>
        <w:spacing w:line="360" w:lineRule="auto"/>
        <w:rPr>
          <w:rFonts w:cs="仿宋"/>
          <w:sz w:val="28"/>
          <w:szCs w:val="28"/>
        </w:rPr>
      </w:pPr>
      <w:r>
        <w:rPr>
          <w:rFonts w:hint="eastAsia" w:cs="仿宋"/>
        </w:rPr>
        <w:t>详见谈判须知前附表</w:t>
      </w:r>
    </w:p>
    <w:p>
      <w:pPr>
        <w:pStyle w:val="22"/>
        <w:rPr>
          <w:rStyle w:val="24"/>
          <w:b/>
          <w:bCs/>
        </w:rPr>
      </w:pPr>
      <w:bookmarkStart w:id="98" w:name="_Toc507936053"/>
      <w:bookmarkStart w:id="99" w:name="_Toc152045574"/>
      <w:bookmarkStart w:id="100" w:name="_Toc312072272"/>
      <w:bookmarkStart w:id="101" w:name="_Toc446434333"/>
      <w:bookmarkStart w:id="102" w:name="_Toc152042350"/>
      <w:bookmarkStart w:id="103" w:name="_Toc144974542"/>
      <w:bookmarkStart w:id="104" w:name="_Toc269310962"/>
      <w:r>
        <w:rPr>
          <w:rStyle w:val="24"/>
          <w:b/>
          <w:bCs/>
        </w:rPr>
        <w:t xml:space="preserve">9. </w:t>
      </w:r>
      <w:r>
        <w:rPr>
          <w:rStyle w:val="24"/>
          <w:rFonts w:hint="eastAsia"/>
          <w:b/>
          <w:bCs/>
        </w:rPr>
        <w:t>纪律和监督</w:t>
      </w:r>
      <w:bookmarkEnd w:id="98"/>
      <w:bookmarkEnd w:id="99"/>
      <w:bookmarkEnd w:id="100"/>
      <w:bookmarkEnd w:id="101"/>
      <w:bookmarkEnd w:id="102"/>
      <w:bookmarkEnd w:id="103"/>
      <w:bookmarkEnd w:id="104"/>
    </w:p>
    <w:p>
      <w:pPr>
        <w:pStyle w:val="26"/>
      </w:pPr>
      <w:bookmarkStart w:id="105" w:name="_Toc507936054"/>
      <w:bookmarkStart w:id="106" w:name="_Toc269310968"/>
      <w:bookmarkStart w:id="107" w:name="_Toc152045580"/>
      <w:bookmarkStart w:id="108" w:name="_Toc144974547"/>
      <w:bookmarkStart w:id="109" w:name="_Toc152042357"/>
      <w:r>
        <w:rPr>
          <w:rFonts w:hint="eastAsia"/>
        </w:rPr>
        <w:t>9.1对采购人的纪律要求</w:t>
      </w:r>
      <w:bookmarkEnd w:id="105"/>
    </w:p>
    <w:p>
      <w:pPr>
        <w:spacing w:line="400" w:lineRule="exact"/>
        <w:ind w:firstLine="480" w:firstLineChars="200"/>
      </w:pPr>
      <w:r>
        <w:rPr>
          <w:rFonts w:hint="eastAsia"/>
        </w:rPr>
        <w:t>采购人不得泄漏谈判活动中应当保密的情况和资料，不得与供应商串通损害国家利益、社会公共利益和他人合法权益。</w:t>
      </w:r>
    </w:p>
    <w:p>
      <w:pPr>
        <w:pStyle w:val="26"/>
      </w:pPr>
      <w:bookmarkStart w:id="110" w:name="_Toc507936055"/>
      <w:r>
        <w:rPr>
          <w:rFonts w:hint="eastAsia"/>
        </w:rPr>
        <w:t>9.2对供应商的纪律要求</w:t>
      </w:r>
      <w:bookmarkEnd w:id="110"/>
    </w:p>
    <w:p>
      <w:pPr>
        <w:spacing w:line="400" w:lineRule="exact"/>
        <w:ind w:firstLine="480" w:firstLineChars="200"/>
      </w:pPr>
      <w:r>
        <w:rPr>
          <w:rFonts w:hint="eastAsia"/>
        </w:rPr>
        <w:t>供应商不得相互串通或者与采购人串通，不得向采购人或者评审委员会成员行贿谋取</w:t>
      </w:r>
      <w:r>
        <w:rPr>
          <w:rFonts w:hint="eastAsia" w:cs="仿宋"/>
        </w:rPr>
        <w:t>成交</w:t>
      </w:r>
      <w:r>
        <w:rPr>
          <w:rFonts w:hint="eastAsia"/>
        </w:rPr>
        <w:t>，不得以他人名义参加谈判或者以其他方式弄虚作假骗取</w:t>
      </w:r>
      <w:r>
        <w:rPr>
          <w:rFonts w:hint="eastAsia" w:cs="仿宋"/>
        </w:rPr>
        <w:t>成交</w:t>
      </w:r>
      <w:r>
        <w:rPr>
          <w:rFonts w:hint="eastAsia"/>
        </w:rPr>
        <w:t>；供应商不得以任何方式干扰、影响评审工作。</w:t>
      </w:r>
    </w:p>
    <w:p>
      <w:pPr>
        <w:pStyle w:val="26"/>
      </w:pPr>
      <w:bookmarkStart w:id="111" w:name="_Toc507936056"/>
      <w:bookmarkStart w:id="112" w:name="_Toc446434336"/>
      <w:bookmarkStart w:id="113" w:name="_Toc312072275"/>
      <w:r>
        <w:t xml:space="preserve">9.3 </w:t>
      </w:r>
      <w:r>
        <w:rPr>
          <w:rFonts w:hint="eastAsia"/>
        </w:rPr>
        <w:t>对评审委员会成员的纪律要求</w:t>
      </w:r>
      <w:bookmarkEnd w:id="111"/>
      <w:bookmarkEnd w:id="112"/>
      <w:bookmarkEnd w:id="113"/>
    </w:p>
    <w:p>
      <w:pPr>
        <w:spacing w:line="400" w:lineRule="exact"/>
        <w:ind w:firstLine="480" w:firstLineChars="200"/>
      </w:pPr>
      <w:r>
        <w:rPr>
          <w:rFonts w:hint="eastAsia"/>
        </w:rPr>
        <w:t>评审委员会成员不得收受他人的财物或者其他好处，不得向他人透漏对响应文件的评审和比较、成交候选人的推荐情况以及与评审有关的其他情况。在评审活动中，评审委员会成员不得擅离职守，影响评审程序正常进行，不得使用第三章“评审办法”没有规定的评审因素和标准进行评审。</w:t>
      </w:r>
    </w:p>
    <w:p>
      <w:pPr>
        <w:pStyle w:val="26"/>
      </w:pPr>
      <w:bookmarkStart w:id="114" w:name="_Toc507936057"/>
      <w:bookmarkStart w:id="115" w:name="_Toc312072276"/>
      <w:bookmarkStart w:id="116" w:name="_Toc446434337"/>
      <w:r>
        <w:t xml:space="preserve">9.4 </w:t>
      </w:r>
      <w:r>
        <w:rPr>
          <w:rFonts w:hint="eastAsia"/>
        </w:rPr>
        <w:t>对与评审活动有关的工作人员的纪律要求</w:t>
      </w:r>
      <w:bookmarkEnd w:id="114"/>
      <w:bookmarkEnd w:id="115"/>
      <w:bookmarkEnd w:id="116"/>
    </w:p>
    <w:p>
      <w:pPr>
        <w:spacing w:line="400" w:lineRule="exact"/>
        <w:ind w:firstLine="480" w:firstLineChars="200"/>
      </w:pPr>
      <w:r>
        <w:rPr>
          <w:rFonts w:hint="eastAsia"/>
        </w:rPr>
        <w:t>与评审活动有关的工作人员不得收受他人的财物或者其他好处，不得向他人透漏对响应文件的评审和比较、</w:t>
      </w:r>
      <w:r>
        <w:rPr>
          <w:rFonts w:hint="eastAsia" w:cs="仿宋"/>
        </w:rPr>
        <w:t>成交</w:t>
      </w:r>
      <w:r>
        <w:rPr>
          <w:rFonts w:hint="eastAsia"/>
        </w:rPr>
        <w:t>候选人的推荐情况以及与评审有关的其他情况。在评审活动中，与评审活动有关的工作人员不得擅离职守，影响评审程序正常进行。</w:t>
      </w:r>
    </w:p>
    <w:p>
      <w:pPr>
        <w:pStyle w:val="26"/>
      </w:pPr>
      <w:bookmarkStart w:id="117" w:name="_Toc312072277"/>
      <w:bookmarkStart w:id="118" w:name="_Toc507936058"/>
      <w:bookmarkStart w:id="119" w:name="_Toc446434338"/>
      <w:r>
        <w:t xml:space="preserve">9.5 </w:t>
      </w:r>
      <w:r>
        <w:rPr>
          <w:rFonts w:hint="eastAsia"/>
        </w:rPr>
        <w:t>投诉</w:t>
      </w:r>
      <w:bookmarkEnd w:id="117"/>
      <w:bookmarkEnd w:id="118"/>
      <w:bookmarkEnd w:id="119"/>
    </w:p>
    <w:p>
      <w:pPr>
        <w:spacing w:line="400" w:lineRule="exact"/>
        <w:ind w:firstLine="480" w:firstLineChars="200"/>
      </w:pPr>
      <w:bookmarkStart w:id="120" w:name="_Toc312072278"/>
      <w:r>
        <w:rPr>
          <w:rFonts w:hint="eastAsia"/>
        </w:rPr>
        <w:t>供应商和其他利害关系人认为本次谈判活动违反法律、法规和规章规定的，有权向市建设行政主管部门和相关监督部门投诉。</w:t>
      </w:r>
    </w:p>
    <w:p>
      <w:pPr>
        <w:pStyle w:val="26"/>
        <w:jc w:val="center"/>
        <w:rPr>
          <w:rStyle w:val="24"/>
          <w:b/>
          <w:bCs/>
        </w:rPr>
      </w:pPr>
      <w:bookmarkStart w:id="121" w:name="_Toc507936059"/>
      <w:bookmarkStart w:id="122" w:name="_Toc446434339"/>
      <w:r>
        <w:rPr>
          <w:rStyle w:val="24"/>
          <w:b/>
          <w:bCs/>
        </w:rPr>
        <w:t xml:space="preserve">10. </w:t>
      </w:r>
      <w:r>
        <w:rPr>
          <w:rStyle w:val="24"/>
          <w:rFonts w:hint="eastAsia"/>
          <w:b/>
          <w:bCs/>
        </w:rPr>
        <w:t>需要补充的其他内容</w:t>
      </w:r>
      <w:bookmarkEnd w:id="106"/>
      <w:bookmarkEnd w:id="107"/>
      <w:bookmarkEnd w:id="108"/>
      <w:bookmarkEnd w:id="109"/>
      <w:bookmarkEnd w:id="120"/>
      <w:bookmarkEnd w:id="121"/>
      <w:bookmarkEnd w:id="122"/>
    </w:p>
    <w:p>
      <w:pPr>
        <w:spacing w:line="360" w:lineRule="auto"/>
      </w:pPr>
      <w:r>
        <w:rPr>
          <w:rFonts w:hint="eastAsia"/>
        </w:rPr>
        <w:t>10.1评委投票方式：见谈判须知前附表。</w:t>
      </w:r>
    </w:p>
    <w:p>
      <w:pPr>
        <w:spacing w:line="360" w:lineRule="auto"/>
      </w:pPr>
      <w:r>
        <w:rPr>
          <w:rFonts w:hint="eastAsia"/>
        </w:rPr>
        <w:t>10.2供应商对谈判文件认可的界定：见谈判须知前附表。</w:t>
      </w:r>
    </w:p>
    <w:p>
      <w:pPr>
        <w:pStyle w:val="20"/>
        <w:spacing w:before="156"/>
      </w:pPr>
      <w:bookmarkStart w:id="123" w:name="_Toc506105866"/>
      <w:bookmarkStart w:id="124" w:name="_Toc507936060"/>
      <w:r>
        <w:rPr>
          <w:rFonts w:hint="eastAsia"/>
        </w:rPr>
        <w:t>第三章  评审办法</w:t>
      </w:r>
      <w:bookmarkEnd w:id="123"/>
      <w:bookmarkEnd w:id="124"/>
    </w:p>
    <w:p>
      <w:pPr>
        <w:tabs>
          <w:tab w:val="left" w:pos="6237"/>
        </w:tabs>
        <w:spacing w:line="360" w:lineRule="auto"/>
        <w:ind w:firstLine="480" w:firstLineChars="200"/>
        <w:rPr>
          <w:rFonts w:cs="仿宋"/>
          <w:bCs/>
          <w:color w:val="000000"/>
        </w:rPr>
      </w:pPr>
      <w:r>
        <w:rPr>
          <w:rFonts w:hint="eastAsia" w:cs="仿宋"/>
          <w:bCs/>
          <w:color w:val="000000"/>
        </w:rPr>
        <w:t>为规范谈判工作，制定本办法。</w:t>
      </w:r>
    </w:p>
    <w:p>
      <w:pPr>
        <w:spacing w:line="360" w:lineRule="auto"/>
        <w:rPr>
          <w:rFonts w:cs="仿宋"/>
          <w:color w:val="000000"/>
        </w:rPr>
      </w:pPr>
      <w:r>
        <w:rPr>
          <w:rFonts w:hint="eastAsia" w:cs="仿宋"/>
          <w:color w:val="000000"/>
        </w:rPr>
        <w:t>一、评审方法</w:t>
      </w:r>
    </w:p>
    <w:p>
      <w:pPr>
        <w:spacing w:line="360" w:lineRule="auto"/>
        <w:rPr>
          <w:rFonts w:cs="仿宋"/>
          <w:bCs/>
          <w:color w:val="000000"/>
        </w:rPr>
      </w:pPr>
      <w:r>
        <w:rPr>
          <w:rFonts w:hint="eastAsia" w:cs="仿宋"/>
          <w:bCs/>
          <w:color w:val="000000"/>
        </w:rPr>
        <w:t>按</w:t>
      </w:r>
      <w:r>
        <w:rPr>
          <w:rFonts w:hint="eastAsia" w:cs="仿宋"/>
          <w:bCs/>
          <w:color w:val="000000"/>
          <w:lang w:val="en-US" w:eastAsia="zh-CN"/>
        </w:rPr>
        <w:t>低价中标法</w:t>
      </w:r>
      <w:r>
        <w:rPr>
          <w:rFonts w:hint="eastAsia" w:cs="仿宋"/>
          <w:bCs/>
          <w:color w:val="000000"/>
        </w:rPr>
        <w:t>表进行评审。</w:t>
      </w:r>
    </w:p>
    <w:p>
      <w:pPr>
        <w:spacing w:line="360" w:lineRule="auto"/>
        <w:rPr>
          <w:rFonts w:cs="仿宋"/>
          <w:color w:val="000000"/>
        </w:rPr>
      </w:pPr>
      <w:r>
        <w:rPr>
          <w:rFonts w:hint="eastAsia" w:cs="仿宋"/>
          <w:bCs/>
          <w:color w:val="000000"/>
        </w:rPr>
        <w:t>二、评审原则</w:t>
      </w:r>
    </w:p>
    <w:p>
      <w:pPr>
        <w:spacing w:line="360" w:lineRule="auto"/>
        <w:ind w:firstLine="480" w:firstLineChars="200"/>
        <w:rPr>
          <w:rFonts w:cs="仿宋"/>
          <w:color w:val="000000"/>
        </w:rPr>
      </w:pPr>
      <w:r>
        <w:rPr>
          <w:rFonts w:hint="eastAsia" w:cs="仿宋"/>
          <w:bCs/>
          <w:color w:val="000000"/>
        </w:rPr>
        <w:t>评审遵循公平、公正、科学、择优的原则。</w:t>
      </w:r>
    </w:p>
    <w:p>
      <w:pPr>
        <w:spacing w:line="360" w:lineRule="auto"/>
        <w:rPr>
          <w:rFonts w:cs="仿宋"/>
          <w:color w:val="000000"/>
        </w:rPr>
      </w:pPr>
      <w:r>
        <w:rPr>
          <w:rFonts w:hint="eastAsia" w:cs="仿宋"/>
          <w:bCs/>
          <w:color w:val="000000"/>
        </w:rPr>
        <w:t>三、评审组织及服务</w:t>
      </w:r>
    </w:p>
    <w:p>
      <w:pPr>
        <w:spacing w:line="360" w:lineRule="auto"/>
        <w:ind w:firstLine="480" w:firstLineChars="200"/>
        <w:rPr>
          <w:rFonts w:cs="仿宋"/>
          <w:bCs/>
          <w:color w:val="000000"/>
        </w:rPr>
      </w:pPr>
      <w:r>
        <w:rPr>
          <w:rFonts w:hint="eastAsia" w:cs="仿宋"/>
          <w:bCs/>
          <w:color w:val="000000"/>
        </w:rPr>
        <w:t>1、为做好评审工作，成立评审委员会和工作小组。</w:t>
      </w:r>
    </w:p>
    <w:p>
      <w:pPr>
        <w:spacing w:line="360" w:lineRule="auto"/>
        <w:ind w:firstLine="480" w:firstLineChars="200"/>
        <w:rPr>
          <w:rFonts w:cs="仿宋"/>
          <w:bCs/>
          <w:color w:val="000000"/>
        </w:rPr>
      </w:pPr>
      <w:r>
        <w:rPr>
          <w:rFonts w:hint="eastAsia" w:cs="仿宋"/>
          <w:bCs/>
          <w:color w:val="000000"/>
        </w:rPr>
        <w:t>2、评审委员会</w:t>
      </w:r>
    </w:p>
    <w:p>
      <w:pPr>
        <w:spacing w:line="360" w:lineRule="auto"/>
        <w:ind w:firstLine="480" w:firstLineChars="200"/>
        <w:rPr>
          <w:rFonts w:cs="仿宋"/>
          <w:bCs/>
          <w:color w:val="000000"/>
        </w:rPr>
      </w:pPr>
      <w:r>
        <w:rPr>
          <w:rFonts w:hint="eastAsia" w:cs="仿宋"/>
          <w:bCs/>
          <w:color w:val="000000"/>
        </w:rPr>
        <w:t>2.1评审委员会由采购人依法组建，评审委员会成员由采购人代表及熟悉相关业务的有关技术、经济等方面的专家组成。</w:t>
      </w:r>
    </w:p>
    <w:p>
      <w:pPr>
        <w:spacing w:line="360" w:lineRule="auto"/>
        <w:ind w:firstLine="480" w:firstLineChars="200"/>
        <w:rPr>
          <w:rFonts w:cs="仿宋"/>
          <w:bCs/>
          <w:color w:val="000000"/>
        </w:rPr>
      </w:pPr>
      <w:r>
        <w:rPr>
          <w:rFonts w:hint="eastAsia" w:cs="仿宋"/>
          <w:bCs/>
          <w:color w:val="000000"/>
        </w:rPr>
        <w:t>2.2评审委员会成员为3人及以上单数。</w:t>
      </w:r>
    </w:p>
    <w:p>
      <w:pPr>
        <w:spacing w:line="360" w:lineRule="auto"/>
        <w:ind w:firstLine="480" w:firstLineChars="200"/>
        <w:rPr>
          <w:rFonts w:cs="仿宋"/>
          <w:bCs/>
          <w:color w:val="000000"/>
        </w:rPr>
      </w:pPr>
      <w:r>
        <w:rPr>
          <w:rFonts w:hint="eastAsia" w:cs="仿宋"/>
          <w:bCs/>
          <w:color w:val="000000"/>
        </w:rPr>
        <w:t>2.3评审工作由评审委员会负责。</w:t>
      </w:r>
    </w:p>
    <w:p>
      <w:pPr>
        <w:spacing w:line="360" w:lineRule="auto"/>
        <w:ind w:firstLine="480" w:firstLineChars="200"/>
        <w:rPr>
          <w:rFonts w:cs="仿宋"/>
          <w:bCs/>
          <w:color w:val="000000"/>
        </w:rPr>
      </w:pPr>
      <w:r>
        <w:rPr>
          <w:rFonts w:hint="eastAsia" w:cs="仿宋"/>
          <w:bCs/>
          <w:color w:val="000000"/>
        </w:rPr>
        <w:t>3、工作小组</w:t>
      </w:r>
    </w:p>
    <w:p>
      <w:pPr>
        <w:spacing w:line="360" w:lineRule="auto"/>
        <w:ind w:firstLine="480" w:firstLineChars="200"/>
        <w:rPr>
          <w:rFonts w:cs="仿宋"/>
          <w:bCs/>
          <w:color w:val="000000"/>
        </w:rPr>
      </w:pPr>
      <w:r>
        <w:rPr>
          <w:rFonts w:hint="eastAsia" w:cs="仿宋"/>
          <w:bCs/>
          <w:color w:val="000000"/>
        </w:rPr>
        <w:t>3.1由采购人组成工作小组，为评审委员会服务。</w:t>
      </w:r>
    </w:p>
    <w:p>
      <w:pPr>
        <w:spacing w:line="360" w:lineRule="auto"/>
        <w:ind w:firstLine="480" w:firstLineChars="200"/>
        <w:rPr>
          <w:rFonts w:cs="仿宋"/>
          <w:bCs/>
          <w:color w:val="000000"/>
        </w:rPr>
      </w:pPr>
      <w:r>
        <w:rPr>
          <w:rFonts w:hint="eastAsia" w:cs="仿宋"/>
          <w:bCs/>
          <w:color w:val="000000"/>
        </w:rPr>
        <w:t>3.2工作小组承担保管谈判文件、响应文件、发放评审资料、响应文件摘录汇总、基础数据对比及会议服务。</w:t>
      </w:r>
    </w:p>
    <w:p>
      <w:pPr>
        <w:spacing w:line="360" w:lineRule="auto"/>
        <w:rPr>
          <w:rFonts w:cs="仿宋"/>
          <w:bCs/>
          <w:color w:val="000000"/>
        </w:rPr>
      </w:pPr>
      <w:r>
        <w:rPr>
          <w:rFonts w:hint="eastAsia" w:cs="仿宋"/>
          <w:bCs/>
          <w:color w:val="000000"/>
        </w:rPr>
        <w:t>四、评审程序及内容</w:t>
      </w:r>
    </w:p>
    <w:p>
      <w:pPr>
        <w:spacing w:line="360" w:lineRule="auto"/>
        <w:ind w:firstLine="480" w:firstLineChars="200"/>
        <w:rPr>
          <w:rFonts w:cs="仿宋"/>
          <w:bCs/>
          <w:color w:val="FF0000"/>
        </w:rPr>
      </w:pPr>
      <w:r>
        <w:rPr>
          <w:rFonts w:hint="eastAsia" w:cs="仿宋"/>
          <w:bCs/>
          <w:color w:val="000000"/>
        </w:rPr>
        <w:t>1、评审的方法：</w:t>
      </w:r>
      <w:r>
        <w:rPr>
          <w:rFonts w:hint="eastAsia" w:cs="仿宋"/>
          <w:bCs/>
        </w:rPr>
        <w:t>由资格审查、价格评审两部分。</w:t>
      </w:r>
    </w:p>
    <w:p>
      <w:pPr>
        <w:spacing w:line="360" w:lineRule="auto"/>
        <w:ind w:firstLine="480" w:firstLineChars="200"/>
        <w:rPr>
          <w:rFonts w:cs="仿宋"/>
          <w:bCs/>
          <w:color w:val="000000"/>
        </w:rPr>
      </w:pPr>
      <w:r>
        <w:rPr>
          <w:rFonts w:hint="eastAsia" w:cs="仿宋"/>
          <w:bCs/>
        </w:rPr>
        <w:t>2、资格审查</w:t>
      </w:r>
      <w:r>
        <w:rPr>
          <w:rFonts w:hint="eastAsia" w:cs="仿宋"/>
          <w:bCs/>
          <w:color w:val="000000"/>
        </w:rPr>
        <w:t>：按对供应商的资格要求、缴纳谈判保证金等情况进行评审。详见《资格审查表》。</w:t>
      </w:r>
    </w:p>
    <w:p>
      <w:pPr>
        <w:spacing w:line="360" w:lineRule="auto"/>
        <w:ind w:firstLine="480" w:firstLineChars="200"/>
        <w:rPr>
          <w:rFonts w:cs="仿宋"/>
          <w:bCs/>
          <w:color w:val="000000"/>
        </w:rPr>
      </w:pPr>
      <w:r>
        <w:rPr>
          <w:rFonts w:hint="eastAsia" w:cs="仿宋"/>
          <w:bCs/>
          <w:color w:val="000000"/>
        </w:rPr>
        <w:t>3、价格评审：通过资格审查后，根据供应商的报价进行评审。</w:t>
      </w:r>
    </w:p>
    <w:p>
      <w:pPr>
        <w:spacing w:line="360" w:lineRule="auto"/>
        <w:rPr>
          <w:rFonts w:cs="仿宋"/>
          <w:bCs/>
          <w:color w:val="000000"/>
        </w:rPr>
      </w:pPr>
      <w:r>
        <w:rPr>
          <w:rFonts w:hint="eastAsia" w:cs="仿宋"/>
          <w:bCs/>
          <w:color w:val="000000"/>
        </w:rPr>
        <w:t>五、评审报告</w:t>
      </w:r>
    </w:p>
    <w:p>
      <w:pPr>
        <w:spacing w:line="360" w:lineRule="auto"/>
        <w:ind w:firstLine="480" w:firstLineChars="200"/>
        <w:rPr>
          <w:rFonts w:cs="仿宋"/>
          <w:bCs/>
          <w:color w:val="000000"/>
        </w:rPr>
      </w:pPr>
      <w:r>
        <w:rPr>
          <w:rFonts w:hint="eastAsia" w:cs="仿宋"/>
          <w:bCs/>
          <w:color w:val="000000"/>
        </w:rPr>
        <w:t>1、评审委员会根据评审情况和结果，向采购人提交评审报告。评审报告由评审委员会起草，评审委员会全体成员应在评审报告上签字确认，评审专家如有保留意见可以在评审报告中阐明。</w:t>
      </w:r>
    </w:p>
    <w:p>
      <w:pPr>
        <w:spacing w:line="360" w:lineRule="auto"/>
        <w:ind w:firstLine="480" w:firstLineChars="200"/>
        <w:rPr>
          <w:rFonts w:cs="仿宋"/>
          <w:bCs/>
          <w:color w:val="000000"/>
        </w:rPr>
      </w:pPr>
      <w:r>
        <w:rPr>
          <w:rFonts w:hint="eastAsia" w:cs="仿宋"/>
          <w:bCs/>
          <w:color w:val="000000"/>
        </w:rPr>
        <w:t>2、评审委员会在评审报告中根据价格排序推荐前</w:t>
      </w:r>
      <w:r>
        <w:rPr>
          <w:rFonts w:hint="eastAsia" w:cs="仿宋"/>
          <w:bCs/>
        </w:rPr>
        <w:t>一至二名</w:t>
      </w:r>
      <w:r>
        <w:rPr>
          <w:rFonts w:hint="eastAsia" w:cs="仿宋"/>
          <w:bCs/>
          <w:color w:val="000000"/>
        </w:rPr>
        <w:t>为成交候选人。</w:t>
      </w:r>
    </w:p>
    <w:p>
      <w:pPr>
        <w:spacing w:line="360" w:lineRule="auto"/>
        <w:rPr>
          <w:b/>
          <w:sz w:val="30"/>
          <w:szCs w:val="30"/>
        </w:rPr>
      </w:pPr>
      <w:r>
        <w:rPr>
          <w:rFonts w:hint="eastAsia"/>
          <w:b/>
          <w:sz w:val="30"/>
          <w:szCs w:val="30"/>
        </w:rPr>
        <w:br w:type="page"/>
      </w:r>
    </w:p>
    <w:p>
      <w:pPr>
        <w:jc w:val="center"/>
        <w:rPr>
          <w:b/>
          <w:sz w:val="30"/>
          <w:szCs w:val="30"/>
        </w:rPr>
      </w:pPr>
      <w:r>
        <w:rPr>
          <w:rFonts w:hint="eastAsia"/>
          <w:b/>
          <w:sz w:val="30"/>
          <w:szCs w:val="30"/>
        </w:rPr>
        <w:t>1.资格审查表</w:t>
      </w:r>
    </w:p>
    <w:p>
      <w:pPr>
        <w:ind w:left="-809" w:leftChars="-337" w:firstLine="720" w:firstLineChars="300"/>
        <w:rPr>
          <w:szCs w:val="21"/>
        </w:rPr>
      </w:pPr>
      <w:r>
        <w:rPr>
          <w:rFonts w:hint="eastAsia"/>
          <w:szCs w:val="21"/>
        </w:rPr>
        <w:t>编号：                 谈判时间：  年 月 日      审查日期：</w:t>
      </w:r>
    </w:p>
    <w:tbl>
      <w:tblPr>
        <w:tblStyle w:val="15"/>
        <w:tblW w:w="0" w:type="auto"/>
        <w:tblInd w:w="-601" w:type="dxa"/>
        <w:tblLayout w:type="autofit"/>
        <w:tblCellMar>
          <w:top w:w="0" w:type="dxa"/>
          <w:left w:w="108" w:type="dxa"/>
          <w:bottom w:w="0" w:type="dxa"/>
          <w:right w:w="108" w:type="dxa"/>
        </w:tblCellMar>
      </w:tblPr>
      <w:tblGrid>
        <w:gridCol w:w="551"/>
        <w:gridCol w:w="1222"/>
        <w:gridCol w:w="1630"/>
        <w:gridCol w:w="958"/>
        <w:gridCol w:w="445"/>
        <w:gridCol w:w="820"/>
        <w:gridCol w:w="1634"/>
        <w:gridCol w:w="2175"/>
      </w:tblGrid>
      <w:tr>
        <w:tblPrEx>
          <w:tblCellMar>
            <w:top w:w="0" w:type="dxa"/>
            <w:left w:w="108" w:type="dxa"/>
            <w:bottom w:w="0" w:type="dxa"/>
            <w:right w:w="108" w:type="dxa"/>
          </w:tblCellMar>
        </w:tblPrEx>
        <w:trPr>
          <w:trHeight w:val="300" w:hRule="atLeast"/>
        </w:trPr>
        <w:tc>
          <w:tcPr>
            <w:tcW w:w="1843" w:type="dxa"/>
            <w:gridSpan w:val="2"/>
            <w:tcBorders>
              <w:top w:val="single" w:color="auto" w:sz="8" w:space="0"/>
              <w:left w:val="single" w:color="auto" w:sz="8" w:space="0"/>
              <w:bottom w:val="single" w:color="auto" w:sz="8" w:space="0"/>
              <w:right w:val="single" w:color="000000" w:sz="8" w:space="0"/>
            </w:tcBorders>
            <w:noWrap/>
            <w:vAlign w:val="center"/>
          </w:tcPr>
          <w:p>
            <w:pPr>
              <w:jc w:val="center"/>
              <w:rPr>
                <w:szCs w:val="21"/>
              </w:rPr>
            </w:pPr>
            <w:r>
              <w:rPr>
                <w:rFonts w:hint="eastAsia"/>
                <w:szCs w:val="21"/>
              </w:rPr>
              <w:t>谈判名称</w:t>
            </w:r>
          </w:p>
        </w:tc>
        <w:tc>
          <w:tcPr>
            <w:tcW w:w="7938" w:type="dxa"/>
            <w:gridSpan w:val="6"/>
            <w:tcBorders>
              <w:top w:val="single" w:color="auto" w:sz="8" w:space="0"/>
              <w:left w:val="nil"/>
              <w:bottom w:val="single" w:color="auto" w:sz="8" w:space="0"/>
              <w:right w:val="single" w:color="000000" w:sz="8" w:space="0"/>
            </w:tcBorders>
            <w:noWrap/>
            <w:vAlign w:val="center"/>
          </w:tcPr>
          <w:p>
            <w:pPr>
              <w:jc w:val="center"/>
              <w:rPr>
                <w:szCs w:val="21"/>
              </w:rPr>
            </w:pPr>
          </w:p>
        </w:tc>
      </w:tr>
      <w:tr>
        <w:tblPrEx>
          <w:tblCellMar>
            <w:top w:w="0" w:type="dxa"/>
            <w:left w:w="108" w:type="dxa"/>
            <w:bottom w:w="0" w:type="dxa"/>
            <w:right w:w="108" w:type="dxa"/>
          </w:tblCellMar>
        </w:tblPrEx>
        <w:trPr>
          <w:trHeight w:val="300" w:hRule="atLeast"/>
        </w:trPr>
        <w:tc>
          <w:tcPr>
            <w:tcW w:w="1843" w:type="dxa"/>
            <w:gridSpan w:val="2"/>
            <w:tcBorders>
              <w:top w:val="single" w:color="auto" w:sz="8" w:space="0"/>
              <w:left w:val="single" w:color="auto" w:sz="8" w:space="0"/>
              <w:bottom w:val="single" w:color="auto" w:sz="8" w:space="0"/>
              <w:right w:val="single" w:color="000000" w:sz="8" w:space="0"/>
            </w:tcBorders>
            <w:noWrap/>
            <w:vAlign w:val="center"/>
          </w:tcPr>
          <w:p>
            <w:pPr>
              <w:jc w:val="center"/>
              <w:rPr>
                <w:szCs w:val="21"/>
              </w:rPr>
            </w:pPr>
            <w:r>
              <w:rPr>
                <w:rFonts w:hint="eastAsia"/>
                <w:szCs w:val="21"/>
              </w:rPr>
              <w:t>谈判内容</w:t>
            </w:r>
          </w:p>
        </w:tc>
        <w:tc>
          <w:tcPr>
            <w:tcW w:w="7938" w:type="dxa"/>
            <w:gridSpan w:val="6"/>
            <w:tcBorders>
              <w:top w:val="single" w:color="auto" w:sz="8" w:space="0"/>
              <w:left w:val="nil"/>
              <w:bottom w:val="single" w:color="auto" w:sz="8" w:space="0"/>
              <w:right w:val="single" w:color="000000" w:sz="8" w:space="0"/>
            </w:tcBorders>
            <w:noWrap/>
            <w:vAlign w:val="center"/>
          </w:tcPr>
          <w:p>
            <w:pPr>
              <w:jc w:val="center"/>
              <w:rPr>
                <w:szCs w:val="21"/>
              </w:rPr>
            </w:pPr>
          </w:p>
        </w:tc>
      </w:tr>
      <w:tr>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pPr>
              <w:jc w:val="center"/>
              <w:rPr>
                <w:szCs w:val="21"/>
              </w:rPr>
            </w:pPr>
            <w:r>
              <w:rPr>
                <w:rFonts w:hint="eastAsia"/>
                <w:szCs w:val="21"/>
              </w:rPr>
              <w:t>序号</w:t>
            </w:r>
          </w:p>
        </w:tc>
        <w:tc>
          <w:tcPr>
            <w:tcW w:w="2977" w:type="dxa"/>
            <w:gridSpan w:val="2"/>
            <w:tcBorders>
              <w:top w:val="single" w:color="auto" w:sz="8" w:space="0"/>
              <w:left w:val="nil"/>
              <w:bottom w:val="single" w:color="auto" w:sz="8" w:space="0"/>
              <w:right w:val="single" w:color="000000" w:sz="8" w:space="0"/>
            </w:tcBorders>
            <w:noWrap/>
            <w:vAlign w:val="center"/>
          </w:tcPr>
          <w:p>
            <w:pPr>
              <w:jc w:val="center"/>
              <w:rPr>
                <w:szCs w:val="21"/>
              </w:rPr>
            </w:pPr>
            <w:r>
              <w:rPr>
                <w:rFonts w:hint="eastAsia"/>
                <w:szCs w:val="21"/>
              </w:rPr>
              <w:t>报名单位</w:t>
            </w:r>
          </w:p>
        </w:tc>
        <w:tc>
          <w:tcPr>
            <w:tcW w:w="993" w:type="dxa"/>
            <w:tcBorders>
              <w:top w:val="nil"/>
              <w:left w:val="nil"/>
              <w:bottom w:val="single" w:color="auto" w:sz="8" w:space="0"/>
              <w:right w:val="single" w:color="auto" w:sz="8" w:space="0"/>
            </w:tcBorders>
            <w:noWrap/>
            <w:vAlign w:val="center"/>
          </w:tcPr>
          <w:p>
            <w:pPr>
              <w:jc w:val="center"/>
              <w:rPr>
                <w:szCs w:val="21"/>
              </w:rPr>
            </w:pPr>
            <w:r>
              <w:rPr>
                <w:rFonts w:hint="eastAsia"/>
                <w:szCs w:val="21"/>
              </w:rPr>
              <w:t>注册资金</w:t>
            </w:r>
          </w:p>
        </w:tc>
        <w:tc>
          <w:tcPr>
            <w:tcW w:w="426" w:type="dxa"/>
            <w:tcBorders>
              <w:top w:val="nil"/>
              <w:left w:val="nil"/>
              <w:bottom w:val="single" w:color="auto" w:sz="8" w:space="0"/>
              <w:right w:val="single" w:color="auto" w:sz="8" w:space="0"/>
            </w:tcBorders>
            <w:vAlign w:val="center"/>
          </w:tcPr>
          <w:p>
            <w:pPr>
              <w:jc w:val="center"/>
              <w:rPr>
                <w:szCs w:val="21"/>
              </w:rPr>
            </w:pPr>
            <w:r>
              <w:rPr>
                <w:rFonts w:hint="eastAsia"/>
                <w:szCs w:val="21"/>
              </w:rPr>
              <w:t>业绩</w:t>
            </w:r>
          </w:p>
        </w:tc>
        <w:tc>
          <w:tcPr>
            <w:tcW w:w="849" w:type="dxa"/>
            <w:tcBorders>
              <w:top w:val="nil"/>
              <w:left w:val="nil"/>
              <w:bottom w:val="single" w:color="auto" w:sz="8" w:space="0"/>
              <w:right w:val="single" w:color="auto" w:sz="8" w:space="0"/>
            </w:tcBorders>
            <w:noWrap/>
            <w:vAlign w:val="center"/>
          </w:tcPr>
          <w:p>
            <w:pPr>
              <w:jc w:val="center"/>
              <w:rPr>
                <w:szCs w:val="21"/>
              </w:rPr>
            </w:pPr>
            <w:r>
              <w:rPr>
                <w:rFonts w:hint="eastAsia"/>
                <w:szCs w:val="21"/>
              </w:rPr>
              <w:t>联系人</w:t>
            </w:r>
          </w:p>
        </w:tc>
        <w:tc>
          <w:tcPr>
            <w:tcW w:w="1701" w:type="dxa"/>
            <w:tcBorders>
              <w:top w:val="nil"/>
              <w:left w:val="nil"/>
              <w:bottom w:val="single" w:color="auto" w:sz="8" w:space="0"/>
              <w:right w:val="single" w:color="auto" w:sz="8" w:space="0"/>
            </w:tcBorders>
            <w:noWrap/>
            <w:vAlign w:val="center"/>
          </w:tcPr>
          <w:p>
            <w:pPr>
              <w:jc w:val="center"/>
              <w:rPr>
                <w:szCs w:val="21"/>
              </w:rPr>
            </w:pPr>
            <w:r>
              <w:rPr>
                <w:rFonts w:hint="eastAsia"/>
                <w:szCs w:val="21"/>
              </w:rPr>
              <w:t>联系电话</w:t>
            </w:r>
          </w:p>
        </w:tc>
        <w:tc>
          <w:tcPr>
            <w:tcW w:w="2268" w:type="dxa"/>
            <w:tcBorders>
              <w:top w:val="nil"/>
              <w:left w:val="nil"/>
              <w:bottom w:val="single" w:color="auto" w:sz="8" w:space="0"/>
              <w:right w:val="single" w:color="auto" w:sz="8" w:space="0"/>
            </w:tcBorders>
            <w:noWrap/>
            <w:vAlign w:val="center"/>
          </w:tcPr>
          <w:p>
            <w:pPr>
              <w:jc w:val="center"/>
              <w:rPr>
                <w:szCs w:val="21"/>
              </w:rPr>
            </w:pPr>
            <w:r>
              <w:rPr>
                <w:rFonts w:hint="eastAsia"/>
                <w:szCs w:val="21"/>
              </w:rPr>
              <w:t>包号</w:t>
            </w:r>
          </w:p>
        </w:tc>
      </w:tr>
      <w:tr>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pPr>
              <w:jc w:val="center"/>
              <w:rPr>
                <w:color w:val="000000"/>
                <w:szCs w:val="21"/>
              </w:rPr>
            </w:pPr>
            <w:r>
              <w:rPr>
                <w:rFonts w:hint="eastAsia"/>
                <w:color w:val="000000"/>
                <w:szCs w:val="21"/>
              </w:rPr>
              <w:t>1</w:t>
            </w:r>
          </w:p>
        </w:tc>
        <w:tc>
          <w:tcPr>
            <w:tcW w:w="2977" w:type="dxa"/>
            <w:gridSpan w:val="2"/>
            <w:tcBorders>
              <w:top w:val="single" w:color="auto" w:sz="8" w:space="0"/>
              <w:left w:val="nil"/>
              <w:bottom w:val="single" w:color="auto" w:sz="8" w:space="0"/>
              <w:right w:val="single" w:color="000000" w:sz="8" w:space="0"/>
            </w:tcBorders>
            <w:noWrap/>
            <w:vAlign w:val="center"/>
          </w:tcPr>
          <w:p>
            <w:pPr>
              <w:jc w:val="center"/>
              <w:rPr>
                <w:color w:val="000000"/>
                <w:szCs w:val="21"/>
              </w:rPr>
            </w:pPr>
            <w:r>
              <w:rPr>
                <w:rFonts w:hint="eastAsia"/>
                <w:color w:val="000000"/>
                <w:szCs w:val="21"/>
              </w:rPr>
              <w:t>　</w:t>
            </w:r>
          </w:p>
        </w:tc>
        <w:tc>
          <w:tcPr>
            <w:tcW w:w="993"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426"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849"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1701"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2268"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r>
      <w:tr>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pPr>
              <w:jc w:val="center"/>
              <w:rPr>
                <w:color w:val="000000"/>
                <w:szCs w:val="21"/>
              </w:rPr>
            </w:pPr>
            <w:r>
              <w:rPr>
                <w:rFonts w:hint="eastAsia"/>
                <w:color w:val="000000"/>
                <w:szCs w:val="21"/>
              </w:rPr>
              <w:t>2</w:t>
            </w:r>
          </w:p>
        </w:tc>
        <w:tc>
          <w:tcPr>
            <w:tcW w:w="2977" w:type="dxa"/>
            <w:gridSpan w:val="2"/>
            <w:tcBorders>
              <w:top w:val="single" w:color="auto" w:sz="8" w:space="0"/>
              <w:left w:val="nil"/>
              <w:bottom w:val="single" w:color="auto" w:sz="8" w:space="0"/>
              <w:right w:val="single" w:color="000000" w:sz="8" w:space="0"/>
            </w:tcBorders>
            <w:noWrap/>
            <w:vAlign w:val="center"/>
          </w:tcPr>
          <w:p>
            <w:pPr>
              <w:jc w:val="center"/>
              <w:rPr>
                <w:color w:val="000000"/>
                <w:szCs w:val="21"/>
              </w:rPr>
            </w:pPr>
            <w:r>
              <w:rPr>
                <w:rFonts w:hint="eastAsia"/>
                <w:color w:val="000000"/>
                <w:szCs w:val="21"/>
              </w:rPr>
              <w:t>　</w:t>
            </w:r>
          </w:p>
        </w:tc>
        <w:tc>
          <w:tcPr>
            <w:tcW w:w="993"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426"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849"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1701"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2268"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r>
      <w:tr>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pPr>
              <w:jc w:val="center"/>
              <w:rPr>
                <w:color w:val="000000"/>
                <w:szCs w:val="21"/>
              </w:rPr>
            </w:pPr>
            <w:r>
              <w:rPr>
                <w:rFonts w:hint="eastAsia"/>
                <w:color w:val="000000"/>
                <w:szCs w:val="21"/>
              </w:rPr>
              <w:t>3</w:t>
            </w:r>
          </w:p>
        </w:tc>
        <w:tc>
          <w:tcPr>
            <w:tcW w:w="2977" w:type="dxa"/>
            <w:gridSpan w:val="2"/>
            <w:tcBorders>
              <w:top w:val="single" w:color="auto" w:sz="8" w:space="0"/>
              <w:left w:val="nil"/>
              <w:bottom w:val="single" w:color="auto" w:sz="8" w:space="0"/>
              <w:right w:val="single" w:color="000000" w:sz="8" w:space="0"/>
            </w:tcBorders>
            <w:noWrap/>
            <w:vAlign w:val="center"/>
          </w:tcPr>
          <w:p>
            <w:pPr>
              <w:jc w:val="center"/>
              <w:rPr>
                <w:color w:val="000000"/>
                <w:szCs w:val="21"/>
              </w:rPr>
            </w:pPr>
            <w:r>
              <w:rPr>
                <w:rFonts w:hint="eastAsia"/>
                <w:color w:val="000000"/>
                <w:szCs w:val="21"/>
              </w:rPr>
              <w:t>　</w:t>
            </w:r>
          </w:p>
        </w:tc>
        <w:tc>
          <w:tcPr>
            <w:tcW w:w="993"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426"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849"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1701"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c>
          <w:tcPr>
            <w:tcW w:w="2268" w:type="dxa"/>
            <w:tcBorders>
              <w:top w:val="nil"/>
              <w:left w:val="nil"/>
              <w:bottom w:val="single" w:color="auto" w:sz="8" w:space="0"/>
              <w:right w:val="single" w:color="auto" w:sz="8" w:space="0"/>
            </w:tcBorders>
            <w:noWrap/>
            <w:vAlign w:val="center"/>
          </w:tcPr>
          <w:p>
            <w:pPr>
              <w:jc w:val="center"/>
              <w:rPr>
                <w:color w:val="000000"/>
                <w:szCs w:val="21"/>
              </w:rPr>
            </w:pPr>
            <w:r>
              <w:rPr>
                <w:rFonts w:hint="eastAsia"/>
                <w:color w:val="000000"/>
                <w:szCs w:val="21"/>
              </w:rPr>
              <w:t>　</w:t>
            </w:r>
          </w:p>
        </w:tc>
      </w:tr>
      <w:tr>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pPr>
              <w:jc w:val="center"/>
              <w:rPr>
                <w:color w:val="000000"/>
                <w:szCs w:val="21"/>
              </w:rPr>
            </w:pPr>
            <w:r>
              <w:rPr>
                <w:rFonts w:hint="eastAsia"/>
                <w:color w:val="000000"/>
                <w:szCs w:val="21"/>
              </w:rPr>
              <w:t>4</w:t>
            </w:r>
          </w:p>
        </w:tc>
        <w:tc>
          <w:tcPr>
            <w:tcW w:w="2977" w:type="dxa"/>
            <w:gridSpan w:val="2"/>
            <w:tcBorders>
              <w:top w:val="single" w:color="auto" w:sz="8" w:space="0"/>
              <w:left w:val="nil"/>
              <w:bottom w:val="single" w:color="auto" w:sz="8" w:space="0"/>
              <w:right w:val="single" w:color="000000" w:sz="8" w:space="0"/>
            </w:tcBorders>
            <w:noWrap/>
            <w:vAlign w:val="center"/>
          </w:tcPr>
          <w:p>
            <w:pPr>
              <w:jc w:val="center"/>
              <w:rPr>
                <w:color w:val="000000"/>
                <w:szCs w:val="21"/>
              </w:rPr>
            </w:pPr>
          </w:p>
        </w:tc>
        <w:tc>
          <w:tcPr>
            <w:tcW w:w="993" w:type="dxa"/>
            <w:tcBorders>
              <w:top w:val="nil"/>
              <w:left w:val="nil"/>
              <w:bottom w:val="single" w:color="auto" w:sz="8" w:space="0"/>
              <w:right w:val="single" w:color="auto" w:sz="8" w:space="0"/>
            </w:tcBorders>
            <w:noWrap/>
            <w:vAlign w:val="center"/>
          </w:tcPr>
          <w:p>
            <w:pPr>
              <w:jc w:val="center"/>
              <w:rPr>
                <w:color w:val="000000"/>
                <w:szCs w:val="21"/>
              </w:rPr>
            </w:pPr>
          </w:p>
        </w:tc>
        <w:tc>
          <w:tcPr>
            <w:tcW w:w="426" w:type="dxa"/>
            <w:tcBorders>
              <w:top w:val="nil"/>
              <w:left w:val="nil"/>
              <w:bottom w:val="single" w:color="auto" w:sz="8" w:space="0"/>
              <w:right w:val="single" w:color="auto" w:sz="8" w:space="0"/>
            </w:tcBorders>
            <w:noWrap/>
            <w:vAlign w:val="center"/>
          </w:tcPr>
          <w:p>
            <w:pPr>
              <w:jc w:val="center"/>
              <w:rPr>
                <w:color w:val="000000"/>
                <w:szCs w:val="21"/>
              </w:rPr>
            </w:pPr>
          </w:p>
        </w:tc>
        <w:tc>
          <w:tcPr>
            <w:tcW w:w="849" w:type="dxa"/>
            <w:tcBorders>
              <w:top w:val="nil"/>
              <w:left w:val="nil"/>
              <w:bottom w:val="single" w:color="auto" w:sz="8" w:space="0"/>
              <w:right w:val="single" w:color="auto" w:sz="8" w:space="0"/>
            </w:tcBorders>
            <w:noWrap/>
            <w:vAlign w:val="center"/>
          </w:tcPr>
          <w:p>
            <w:pPr>
              <w:jc w:val="center"/>
              <w:rPr>
                <w:color w:val="000000"/>
                <w:szCs w:val="21"/>
              </w:rPr>
            </w:pPr>
          </w:p>
        </w:tc>
        <w:tc>
          <w:tcPr>
            <w:tcW w:w="1701" w:type="dxa"/>
            <w:tcBorders>
              <w:top w:val="nil"/>
              <w:left w:val="nil"/>
              <w:bottom w:val="single" w:color="auto" w:sz="8" w:space="0"/>
              <w:right w:val="single" w:color="auto" w:sz="8" w:space="0"/>
            </w:tcBorders>
            <w:noWrap/>
            <w:vAlign w:val="center"/>
          </w:tcPr>
          <w:p>
            <w:pPr>
              <w:jc w:val="center"/>
              <w:rPr>
                <w:color w:val="000000"/>
                <w:szCs w:val="21"/>
              </w:rPr>
            </w:pPr>
          </w:p>
        </w:tc>
        <w:tc>
          <w:tcPr>
            <w:tcW w:w="2268" w:type="dxa"/>
            <w:tcBorders>
              <w:top w:val="nil"/>
              <w:left w:val="nil"/>
              <w:bottom w:val="single" w:color="auto" w:sz="8" w:space="0"/>
              <w:right w:val="single" w:color="auto" w:sz="8" w:space="0"/>
            </w:tcBorders>
            <w:noWrap/>
            <w:vAlign w:val="center"/>
          </w:tcPr>
          <w:p>
            <w:pPr>
              <w:jc w:val="center"/>
              <w:rPr>
                <w:color w:val="000000"/>
                <w:szCs w:val="21"/>
              </w:rPr>
            </w:pPr>
          </w:p>
        </w:tc>
      </w:tr>
      <w:tr>
        <w:tblPrEx>
          <w:tblCellMar>
            <w:top w:w="0" w:type="dxa"/>
            <w:left w:w="108" w:type="dxa"/>
            <w:bottom w:w="0" w:type="dxa"/>
            <w:right w:w="108" w:type="dxa"/>
          </w:tblCellMar>
        </w:tblPrEx>
        <w:trPr>
          <w:trHeight w:val="300" w:hRule="atLeast"/>
        </w:trPr>
        <w:tc>
          <w:tcPr>
            <w:tcW w:w="9781" w:type="dxa"/>
            <w:gridSpan w:val="8"/>
            <w:tcBorders>
              <w:top w:val="single" w:color="auto" w:sz="8" w:space="0"/>
              <w:left w:val="single" w:color="auto" w:sz="8" w:space="0"/>
              <w:bottom w:val="single" w:color="auto" w:sz="8" w:space="0"/>
              <w:right w:val="single" w:color="000000" w:sz="8" w:space="0"/>
            </w:tcBorders>
            <w:noWrap/>
            <w:vAlign w:val="center"/>
          </w:tcPr>
          <w:p>
            <w:pPr>
              <w:jc w:val="center"/>
              <w:rPr>
                <w:color w:val="000000"/>
                <w:szCs w:val="21"/>
              </w:rPr>
            </w:pPr>
            <w:r>
              <w:rPr>
                <w:rFonts w:hint="eastAsia"/>
                <w:color w:val="000000"/>
                <w:szCs w:val="21"/>
              </w:rPr>
              <w:t>资质审查情况说明</w:t>
            </w:r>
          </w:p>
        </w:tc>
      </w:tr>
      <w:tr>
        <w:tblPrEx>
          <w:tblCellMar>
            <w:top w:w="0" w:type="dxa"/>
            <w:left w:w="108" w:type="dxa"/>
            <w:bottom w:w="0" w:type="dxa"/>
            <w:right w:w="108" w:type="dxa"/>
          </w:tblCellMar>
        </w:tblPrEx>
        <w:trPr>
          <w:trHeight w:val="20" w:hRule="exact"/>
        </w:trPr>
        <w:tc>
          <w:tcPr>
            <w:tcW w:w="567" w:type="dxa"/>
            <w:gridSpan w:val="8"/>
            <w:vMerge w:val="restart"/>
            <w:tcBorders>
              <w:top w:val="single" w:color="auto" w:sz="8" w:space="0"/>
              <w:left w:val="single" w:color="auto" w:sz="8" w:space="0"/>
              <w:bottom w:val="single" w:color="000000" w:sz="8" w:space="0"/>
              <w:right w:val="single" w:color="000000" w:sz="8" w:space="0"/>
            </w:tcBorders>
            <w:noWrap/>
          </w:tcPr>
          <w:p>
            <w:pPr>
              <w:rPr>
                <w:color w:val="000000"/>
                <w:szCs w:val="21"/>
              </w:rPr>
            </w:pPr>
            <w:r>
              <w:rPr>
                <w:rFonts w:hint="eastAsia"/>
                <w:color w:val="000000"/>
                <w:szCs w:val="21"/>
              </w:rPr>
              <w:t>（资质、业绩、技术、能力，谈判保证金等方面）</w:t>
            </w:r>
          </w:p>
          <w:p>
            <w:pPr>
              <w:rPr>
                <w:szCs w:val="21"/>
              </w:rPr>
            </w:pPr>
          </w:p>
          <w:p>
            <w:pPr>
              <w:tabs>
                <w:tab w:val="left" w:pos="3171"/>
              </w:tabs>
              <w:rPr>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1843" w:type="dxa"/>
            <w:gridSpan w:val="2"/>
            <w:vMerge w:val="restart"/>
            <w:tcBorders>
              <w:top w:val="single" w:color="000000" w:sz="8" w:space="0"/>
              <w:left w:val="single" w:color="auto" w:sz="8" w:space="0"/>
              <w:bottom w:val="single" w:color="000000" w:sz="8" w:space="0"/>
              <w:right w:val="single" w:color="000000" w:sz="8" w:space="0"/>
            </w:tcBorders>
            <w:noWrap/>
            <w:vAlign w:val="center"/>
          </w:tcPr>
          <w:p>
            <w:pPr>
              <w:jc w:val="center"/>
              <w:rPr>
                <w:color w:val="000000"/>
                <w:szCs w:val="21"/>
              </w:rPr>
            </w:pPr>
            <w:r>
              <w:rPr>
                <w:rFonts w:hint="eastAsia"/>
                <w:color w:val="000000"/>
                <w:szCs w:val="21"/>
              </w:rPr>
              <w:t>资格审查人员</w:t>
            </w:r>
          </w:p>
        </w:tc>
        <w:tc>
          <w:tcPr>
            <w:tcW w:w="7938" w:type="dxa"/>
            <w:gridSpan w:val="6"/>
            <w:vMerge w:val="restart"/>
            <w:tcBorders>
              <w:top w:val="single" w:color="000000" w:sz="8" w:space="0"/>
              <w:left w:val="single" w:color="auto" w:sz="8" w:space="0"/>
              <w:bottom w:val="single" w:color="000000" w:sz="8" w:space="0"/>
              <w:right w:val="single" w:color="000000" w:sz="8" w:space="0"/>
            </w:tcBorders>
            <w:noWrap/>
            <w:vAlign w:val="center"/>
          </w:tcPr>
          <w:p>
            <w:pPr>
              <w:jc w:val="center"/>
              <w:rPr>
                <w:color w:val="000000"/>
                <w:szCs w:val="21"/>
              </w:rPr>
            </w:pPr>
            <w:r>
              <w:rPr>
                <w:rFonts w:hint="eastAsia"/>
                <w:color w:val="000000"/>
                <w:szCs w:val="21"/>
              </w:rPr>
              <w:t>　</w:t>
            </w:r>
          </w:p>
        </w:tc>
      </w:tr>
      <w:tr>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vAlign w:val="center"/>
          </w:tcPr>
          <w:p>
            <w:pPr>
              <w:rPr>
                <w:color w:val="000000"/>
                <w:szCs w:val="21"/>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vAlign w:val="center"/>
          </w:tcPr>
          <w:p>
            <w:pPr>
              <w:rPr>
                <w:color w:val="000000"/>
                <w:szCs w:val="21"/>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vAlign w:val="center"/>
          </w:tcPr>
          <w:p>
            <w:pPr>
              <w:rPr>
                <w:color w:val="000000"/>
                <w:szCs w:val="21"/>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auto" w:sz="4" w:space="0"/>
              <w:right w:val="single" w:color="000000" w:sz="8" w:space="0"/>
            </w:tcBorders>
            <w:vAlign w:val="center"/>
          </w:tcPr>
          <w:p>
            <w:pPr>
              <w:rPr>
                <w:color w:val="000000"/>
                <w:szCs w:val="21"/>
              </w:rPr>
            </w:pPr>
          </w:p>
        </w:tc>
        <w:tc>
          <w:tcPr>
            <w:tcW w:w="7938" w:type="dxa"/>
            <w:gridSpan w:val="6"/>
            <w:vMerge w:val="continue"/>
            <w:tcBorders>
              <w:top w:val="single" w:color="000000" w:sz="8" w:space="0"/>
              <w:left w:val="single" w:color="auto" w:sz="8" w:space="0"/>
              <w:bottom w:val="single" w:color="auto" w:sz="4" w:space="0"/>
              <w:right w:val="single" w:color="000000" w:sz="8" w:space="0"/>
            </w:tcBorders>
            <w:vAlign w:val="center"/>
          </w:tcPr>
          <w:p>
            <w:pPr>
              <w:rPr>
                <w:color w:val="000000"/>
                <w:szCs w:val="21"/>
              </w:rPr>
            </w:pPr>
          </w:p>
        </w:tc>
      </w:tr>
      <w:tr>
        <w:tblPrEx>
          <w:tblCellMar>
            <w:top w:w="0" w:type="dxa"/>
            <w:left w:w="108" w:type="dxa"/>
            <w:bottom w:w="0" w:type="dxa"/>
            <w:right w:w="108" w:type="dxa"/>
          </w:tblCellMar>
        </w:tblPrEx>
        <w:trPr>
          <w:trHeight w:val="558" w:hRule="atLeast"/>
        </w:trPr>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 w:val="22"/>
              </w:rPr>
              <w:t>工作人员</w:t>
            </w:r>
          </w:p>
        </w:tc>
        <w:tc>
          <w:tcPr>
            <w:tcW w:w="7938" w:type="dxa"/>
            <w:gridSpan w:val="6"/>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 w:val="22"/>
              </w:rPr>
              <w:t>　</w:t>
            </w:r>
          </w:p>
        </w:tc>
      </w:tr>
    </w:tbl>
    <w:p>
      <w:pPr>
        <w:pStyle w:val="21"/>
        <w:widowControl/>
        <w:spacing w:beforeLines="0" w:line="300" w:lineRule="auto"/>
        <w:ind w:left="1234" w:leftChars="514" w:firstLine="663" w:firstLineChars="150"/>
        <w:jc w:val="both"/>
        <w:rPr>
          <w:rFonts w:cs="仿宋"/>
          <w:sz w:val="44"/>
          <w:szCs w:val="44"/>
        </w:rPr>
      </w:pPr>
      <w:r>
        <w:rPr>
          <w:color w:val="000000"/>
          <w:szCs w:val="21"/>
        </w:rPr>
        <w:br w:type="page"/>
      </w:r>
      <w:r>
        <w:rPr>
          <w:rFonts w:hint="eastAsia" w:ascii="Times New Roman" w:hAnsi="Times New Roman" w:eastAsia="黑体" w:cs="Times New Roman"/>
          <w:b w:val="0"/>
          <w:kern w:val="2"/>
          <w:sz w:val="32"/>
          <w:szCs w:val="32"/>
          <w:lang w:val="en-US" w:eastAsia="zh-CN" w:bidi="ar-SA"/>
        </w:rPr>
        <w:t>第四章  合同主要条款及格式</w:t>
      </w:r>
    </w:p>
    <w:p>
      <w:pPr>
        <w:spacing w:before="140" w:line="222" w:lineRule="auto"/>
        <w:ind w:left="2130"/>
        <w:rPr>
          <w:rFonts w:ascii="仿宋" w:hAnsi="仿宋" w:eastAsia="仿宋" w:cs="仿宋"/>
          <w:sz w:val="43"/>
          <w:szCs w:val="43"/>
        </w:rPr>
      </w:pPr>
      <w:bookmarkStart w:id="125" w:name="_Toc521503319"/>
      <w:bookmarkStart w:id="126" w:name="_Toc508871745"/>
      <w:r>
        <w:rPr>
          <w:rFonts w:hint="eastAsia" w:ascii="仿宋" w:hAnsi="仿宋" w:eastAsia="仿宋" w:cs="仿宋"/>
          <w:spacing w:val="7"/>
          <w:sz w:val="43"/>
          <w:szCs w:val="43"/>
          <w:lang w:val="en-US" w:eastAsia="zh-CN"/>
          <w14:textOutline w14:w="7968" w14:cap="flat" w14:cmpd="sng">
            <w14:solidFill>
              <w14:srgbClr w14:val="000000"/>
            </w14:solidFill>
            <w14:prstDash w14:val="solid"/>
            <w14:miter w14:val="0"/>
          </w14:textOutline>
        </w:rPr>
        <w:t>滚筒筛隐患整改</w:t>
      </w:r>
      <w:r>
        <w:rPr>
          <w:rFonts w:ascii="仿宋" w:hAnsi="仿宋" w:eastAsia="仿宋" w:cs="仿宋"/>
          <w:spacing w:val="7"/>
          <w:sz w:val="43"/>
          <w:szCs w:val="43"/>
          <w14:textOutline w14:w="7968" w14:cap="flat" w14:cmpd="sng">
            <w14:solidFill>
              <w14:srgbClr w14:val="000000"/>
            </w14:solidFill>
            <w14:prstDash w14:val="solid"/>
            <w14:miter w14:val="0"/>
          </w14:textOutline>
        </w:rPr>
        <w:t>合同</w:t>
      </w:r>
    </w:p>
    <w:p>
      <w:pPr>
        <w:pStyle w:val="7"/>
        <w:spacing w:line="307" w:lineRule="auto"/>
      </w:pPr>
    </w:p>
    <w:p>
      <w:pPr>
        <w:pStyle w:val="7"/>
        <w:spacing w:line="307" w:lineRule="auto"/>
        <w:rPr>
          <w:rFonts w:hint="default" w:eastAsia="宋体"/>
          <w:lang w:val="en-US" w:eastAsia="zh-CN"/>
        </w:rPr>
      </w:pPr>
      <w:r>
        <w:rPr>
          <w:rFonts w:hint="eastAsia"/>
          <w:lang w:val="en-US" w:eastAsia="zh-CN"/>
        </w:rPr>
        <w:t>合同编号：</w:t>
      </w:r>
    </w:p>
    <w:p>
      <w:pPr>
        <w:spacing w:line="360" w:lineRule="auto"/>
        <w:ind w:firstLine="480" w:firstLineChars="200"/>
        <w:rPr>
          <w:rFonts w:hint="eastAsia" w:cs="仿宋"/>
          <w:bCs/>
        </w:rPr>
      </w:pPr>
      <w:r>
        <w:rPr>
          <w:rFonts w:hint="eastAsia" w:cs="仿宋"/>
          <w:bCs/>
        </w:rPr>
        <w:t>甲方：济南黄河爆破工程有限责任公司</w:t>
      </w:r>
    </w:p>
    <w:p>
      <w:pPr>
        <w:spacing w:line="360" w:lineRule="auto"/>
        <w:ind w:firstLine="480" w:firstLineChars="200"/>
        <w:rPr>
          <w:rFonts w:hint="eastAsia" w:cs="仿宋"/>
          <w:bCs/>
        </w:rPr>
      </w:pPr>
      <w:r>
        <w:rPr>
          <w:rFonts w:hint="eastAsia" w:cs="仿宋"/>
          <w:bCs/>
        </w:rPr>
        <w:t>乙方：</w:t>
      </w:r>
    </w:p>
    <w:p>
      <w:pPr>
        <w:spacing w:line="360" w:lineRule="auto"/>
        <w:ind w:firstLine="480" w:firstLineChars="200"/>
        <w:rPr>
          <w:rFonts w:hint="eastAsia" w:cs="仿宋"/>
          <w:bCs/>
        </w:rPr>
      </w:pPr>
      <w:r>
        <w:rPr>
          <w:rFonts w:hint="eastAsia" w:cs="仿宋"/>
          <w:bCs/>
        </w:rPr>
        <w:t>依照《中华人民共和国民法典》及其它有关法律法规的规定，遵循平等、自愿、公平和诚实信用的原则，双方就本</w:t>
      </w:r>
      <w:r>
        <w:rPr>
          <w:rFonts w:hint="eastAsia" w:cs="仿宋"/>
          <w:bCs/>
          <w:lang w:val="en-US" w:eastAsia="zh-CN"/>
        </w:rPr>
        <w:t>隐患整改</w:t>
      </w:r>
      <w:r>
        <w:rPr>
          <w:rFonts w:hint="eastAsia" w:cs="仿宋"/>
          <w:bCs/>
        </w:rPr>
        <w:t>事项协商一致，订立本合同</w:t>
      </w:r>
    </w:p>
    <w:p>
      <w:pPr>
        <w:spacing w:line="360" w:lineRule="auto"/>
        <w:ind w:firstLine="480" w:firstLineChars="200"/>
        <w:rPr>
          <w:rFonts w:hint="eastAsia" w:cs="仿宋"/>
          <w:bCs/>
        </w:rPr>
      </w:pPr>
      <w:r>
        <w:rPr>
          <w:rFonts w:hint="eastAsia" w:cs="仿宋"/>
          <w:bCs/>
        </w:rPr>
        <w:t>一、</w:t>
      </w:r>
      <w:r>
        <w:rPr>
          <w:rFonts w:hint="eastAsia" w:cs="仿宋"/>
          <w:bCs/>
          <w:lang w:val="en-US" w:eastAsia="zh-CN"/>
        </w:rPr>
        <w:t>施工</w:t>
      </w:r>
      <w:r>
        <w:rPr>
          <w:rFonts w:hint="eastAsia" w:cs="仿宋"/>
          <w:bCs/>
        </w:rPr>
        <w:t>概况</w:t>
      </w:r>
    </w:p>
    <w:p>
      <w:pPr>
        <w:spacing w:line="360" w:lineRule="auto"/>
        <w:ind w:firstLine="480" w:firstLineChars="200"/>
        <w:rPr>
          <w:rFonts w:hint="default" w:cs="仿宋"/>
          <w:bCs/>
          <w:lang w:val="en-US" w:eastAsia="zh-CN"/>
        </w:rPr>
      </w:pPr>
      <w:r>
        <w:rPr>
          <w:rFonts w:hint="eastAsia" w:cs="仿宋"/>
          <w:bCs/>
        </w:rPr>
        <w:t>1、</w:t>
      </w:r>
      <w:r>
        <w:rPr>
          <w:rFonts w:hint="eastAsia" w:cs="仿宋"/>
          <w:bCs/>
          <w:lang w:val="en-US" w:eastAsia="zh-CN"/>
        </w:rPr>
        <w:t>项目</w:t>
      </w:r>
      <w:r>
        <w:rPr>
          <w:rFonts w:hint="eastAsia" w:cs="仿宋"/>
          <w:bCs/>
        </w:rPr>
        <w:t>名称：</w:t>
      </w:r>
      <w:r>
        <w:rPr>
          <w:rFonts w:hint="eastAsia" w:cs="仿宋"/>
          <w:bCs/>
          <w:u w:val="single"/>
          <w:lang w:val="en-US" w:eastAsia="zh-CN"/>
        </w:rPr>
        <w:t>滚筒筛隐患整改维修改造</w:t>
      </w:r>
    </w:p>
    <w:p>
      <w:pPr>
        <w:spacing w:line="360" w:lineRule="auto"/>
        <w:ind w:firstLine="480" w:firstLineChars="200"/>
        <w:rPr>
          <w:rFonts w:hint="eastAsia" w:cs="仿宋"/>
          <w:bCs/>
          <w:u w:val="single"/>
        </w:rPr>
      </w:pPr>
      <w:r>
        <w:rPr>
          <w:rFonts w:hint="eastAsia" w:cs="仿宋"/>
          <w:bCs/>
        </w:rPr>
        <w:t>2、</w:t>
      </w:r>
      <w:r>
        <w:rPr>
          <w:rFonts w:hint="eastAsia" w:cs="仿宋"/>
          <w:bCs/>
          <w:lang w:val="en-US" w:eastAsia="zh-CN"/>
        </w:rPr>
        <w:t>项目</w:t>
      </w:r>
      <w:r>
        <w:rPr>
          <w:rFonts w:hint="eastAsia" w:cs="仿宋"/>
          <w:bCs/>
        </w:rPr>
        <w:t>地点：</w:t>
      </w:r>
      <w:r>
        <w:rPr>
          <w:rFonts w:hint="eastAsia" w:cs="仿宋"/>
          <w:bCs/>
          <w:u w:val="single"/>
        </w:rPr>
        <w:t>山东济钢环保新材料有限公司矿山区域</w:t>
      </w:r>
    </w:p>
    <w:p>
      <w:pPr>
        <w:spacing w:line="360" w:lineRule="auto"/>
        <w:ind w:firstLine="480" w:firstLineChars="200"/>
        <w:rPr>
          <w:rFonts w:hint="eastAsia" w:cs="仿宋"/>
          <w:bCs/>
        </w:rPr>
      </w:pPr>
      <w:r>
        <w:rPr>
          <w:rFonts w:hint="eastAsia" w:cs="仿宋"/>
          <w:bCs/>
          <w:lang w:val="en-US" w:eastAsia="zh-CN"/>
        </w:rPr>
        <w:t>3</w:t>
      </w:r>
      <w:r>
        <w:rPr>
          <w:rFonts w:hint="eastAsia" w:cs="仿宋"/>
          <w:bCs/>
        </w:rPr>
        <w:t>、</w:t>
      </w:r>
      <w:r>
        <w:rPr>
          <w:rFonts w:hint="eastAsia" w:cs="仿宋"/>
          <w:bCs/>
          <w:lang w:val="en-US" w:eastAsia="zh-CN"/>
        </w:rPr>
        <w:t>承包</w:t>
      </w:r>
      <w:r>
        <w:rPr>
          <w:rFonts w:hint="eastAsia" w:cs="仿宋"/>
          <w:bCs/>
          <w:lang w:eastAsia="zh-CN"/>
        </w:rPr>
        <w:t>方</w:t>
      </w:r>
      <w:r>
        <w:rPr>
          <w:rFonts w:hint="eastAsia" w:cs="仿宋"/>
          <w:bCs/>
        </w:rPr>
        <w:t>式：</w:t>
      </w:r>
      <w:r>
        <w:rPr>
          <w:rFonts w:hint="eastAsia" w:cs="仿宋"/>
          <w:bCs/>
          <w:u w:val="single"/>
          <w:lang w:val="en-US" w:eastAsia="zh-CN"/>
        </w:rPr>
        <w:t>综合单价包干</w:t>
      </w:r>
    </w:p>
    <w:p>
      <w:pPr>
        <w:spacing w:line="360" w:lineRule="auto"/>
        <w:ind w:firstLine="480" w:firstLineChars="200"/>
        <w:rPr>
          <w:rFonts w:hint="default" w:eastAsia="宋体" w:cs="仿宋"/>
          <w:bCs/>
          <w:lang w:val="en-US" w:eastAsia="zh-CN"/>
        </w:rPr>
      </w:pPr>
      <w:r>
        <w:rPr>
          <w:rFonts w:hint="eastAsia" w:cs="仿宋"/>
          <w:bCs/>
          <w:lang w:val="en-US" w:eastAsia="zh-CN"/>
        </w:rPr>
        <w:t>二</w:t>
      </w:r>
      <w:r>
        <w:rPr>
          <w:rFonts w:hint="eastAsia" w:cs="仿宋"/>
          <w:bCs/>
        </w:rPr>
        <w:t>、</w:t>
      </w:r>
      <w:r>
        <w:rPr>
          <w:rFonts w:hint="eastAsia" w:cs="仿宋"/>
          <w:bCs/>
          <w:lang w:val="en-US" w:eastAsia="zh-CN"/>
        </w:rPr>
        <w:t>施工</w:t>
      </w:r>
      <w:r>
        <w:rPr>
          <w:rFonts w:hint="eastAsia" w:cs="仿宋"/>
          <w:bCs/>
        </w:rPr>
        <w:t>内容</w:t>
      </w:r>
      <w:r>
        <w:rPr>
          <w:rFonts w:hint="eastAsia" w:cs="仿宋"/>
          <w:bCs/>
          <w:lang w:val="en-US" w:eastAsia="zh-CN"/>
        </w:rPr>
        <w:t>及要求</w:t>
      </w:r>
    </w:p>
    <w:p>
      <w:pPr>
        <w:spacing w:line="360" w:lineRule="auto"/>
        <w:ind w:firstLine="480" w:firstLineChars="200"/>
        <w:rPr>
          <w:rFonts w:hint="eastAsia" w:cs="仿宋"/>
          <w:bCs/>
          <w:lang w:val="en-US" w:eastAsia="zh-CN"/>
        </w:rPr>
      </w:pPr>
      <w:r>
        <w:rPr>
          <w:rFonts w:hint="eastAsia" w:cs="仿宋"/>
          <w:bCs/>
          <w:lang w:val="en-US" w:eastAsia="zh-CN"/>
        </w:rPr>
        <w:t>内容：</w:t>
      </w:r>
      <w:r>
        <w:rPr>
          <w:rFonts w:hint="eastAsia" w:cs="仿宋"/>
          <w:bCs/>
        </w:rPr>
        <w:t>安装更换滚筒筛设备损坏零部件及支撑结构</w:t>
      </w:r>
      <w:r>
        <w:rPr>
          <w:rFonts w:hint="eastAsia" w:cs="仿宋"/>
          <w:bCs/>
          <w:lang w:val="en-US" w:eastAsia="zh-CN"/>
        </w:rPr>
        <w:t>包括</w:t>
      </w:r>
      <w:r>
        <w:rPr>
          <w:rFonts w:hint="eastAsia" w:cs="仿宋"/>
          <w:bCs/>
          <w:lang w:eastAsia="zh-CN"/>
        </w:rPr>
        <w:t>：</w:t>
      </w:r>
      <w:r>
        <w:rPr>
          <w:rFonts w:hint="eastAsia" w:cs="仿宋"/>
          <w:bCs/>
          <w:lang w:val="en-US" w:eastAsia="zh-CN"/>
        </w:rPr>
        <w:t>制作安装上料口1个，制作安装支撑腿上下底板各4个，制作安装4个支撑腿及横撑2个，更换损坏件（无缝钢管），制作安装所用辅材。</w:t>
      </w:r>
    </w:p>
    <w:p>
      <w:pPr>
        <w:spacing w:line="360" w:lineRule="auto"/>
        <w:ind w:firstLine="480" w:firstLineChars="200"/>
        <w:rPr>
          <w:rFonts w:hint="eastAsia" w:cs="仿宋"/>
          <w:bCs/>
          <w:lang w:val="en-US" w:eastAsia="zh-CN"/>
        </w:rPr>
      </w:pPr>
      <w:r>
        <w:rPr>
          <w:rFonts w:hint="eastAsia" w:cs="仿宋"/>
          <w:bCs/>
          <w:lang w:val="en-US" w:eastAsia="zh-CN"/>
        </w:rPr>
        <w:t>要求：乙方所整改的部件材质、规格、尺寸严格参照设备部件原有尺寸执行，如需更改须由甲方业务负责人签字同意。</w:t>
      </w:r>
    </w:p>
    <w:p>
      <w:pPr>
        <w:spacing w:line="360" w:lineRule="auto"/>
        <w:ind w:firstLine="480" w:firstLineChars="200"/>
        <w:jc w:val="center"/>
        <w:rPr>
          <w:rFonts w:hint="default" w:eastAsia="宋体" w:cs="仿宋"/>
          <w:bCs/>
          <w:lang w:val="en-US" w:eastAsia="zh-CN"/>
        </w:rPr>
      </w:pPr>
      <w:r>
        <w:rPr>
          <w:rFonts w:hint="eastAsia" w:cs="仿宋"/>
          <w:bCs/>
          <w:lang w:val="en-US" w:eastAsia="zh-CN"/>
        </w:rPr>
        <w:t>原设备部件主要用材材质及规格</w:t>
      </w:r>
    </w:p>
    <w:tbl>
      <w:tblPr>
        <w:tblStyle w:val="15"/>
        <w:tblW w:w="8698" w:type="dxa"/>
        <w:tblInd w:w="528" w:type="dxa"/>
        <w:tblLayout w:type="fixed"/>
        <w:tblCellMar>
          <w:top w:w="0" w:type="dxa"/>
          <w:left w:w="108" w:type="dxa"/>
          <w:bottom w:w="0" w:type="dxa"/>
          <w:right w:w="108" w:type="dxa"/>
        </w:tblCellMar>
      </w:tblPr>
      <w:tblGrid>
        <w:gridCol w:w="1211"/>
        <w:gridCol w:w="1232"/>
        <w:gridCol w:w="1983"/>
        <w:gridCol w:w="4272"/>
      </w:tblGrid>
      <w:tr>
        <w:tblPrEx>
          <w:tblCellMar>
            <w:top w:w="0" w:type="dxa"/>
            <w:left w:w="108" w:type="dxa"/>
            <w:bottom w:w="0" w:type="dxa"/>
            <w:right w:w="108" w:type="dxa"/>
          </w:tblCellMar>
        </w:tblPrEx>
        <w:trPr>
          <w:trHeight w:val="324" w:hRule="atLeast"/>
        </w:trPr>
        <w:tc>
          <w:tcPr>
            <w:tcW w:w="1211" w:type="dxa"/>
            <w:tcBorders>
              <w:top w:val="single" w:color="000000" w:sz="8" w:space="0"/>
              <w:left w:val="single" w:color="000000" w:sz="8" w:space="0"/>
              <w:bottom w:val="single" w:color="auto" w:sz="4" w:space="0"/>
              <w:right w:val="single" w:color="000000" w:sz="8" w:space="0"/>
            </w:tcBorders>
            <w:shd w:val="clear" w:color="auto" w:fill="auto"/>
            <w:noWrap/>
            <w:vAlign w:val="center"/>
          </w:tcPr>
          <w:p>
            <w:pPr>
              <w:widowControl/>
              <w:ind w:left="0" w:leftChars="0" w:firstLine="0" w:firstLineChars="0"/>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序号</w:t>
            </w:r>
          </w:p>
        </w:tc>
        <w:tc>
          <w:tcPr>
            <w:tcW w:w="1232" w:type="dxa"/>
            <w:tcBorders>
              <w:top w:val="single" w:color="000000" w:sz="8" w:space="0"/>
              <w:left w:val="nil"/>
              <w:bottom w:val="single" w:color="auto" w:sz="4" w:space="0"/>
              <w:right w:val="single" w:color="000000" w:sz="8" w:space="0"/>
            </w:tcBorders>
            <w:shd w:val="clear" w:color="auto" w:fill="auto"/>
            <w:vAlign w:val="center"/>
          </w:tcPr>
          <w:p>
            <w:pPr>
              <w:widowControl/>
              <w:ind w:left="0" w:leftChars="0" w:firstLine="0" w:firstLineChars="0"/>
              <w:jc w:val="center"/>
              <w:rPr>
                <w:rFonts w:hint="eastAsia" w:ascii="仿宋_GB2312" w:hAnsi="宋体" w:eastAsia="仿宋_GB2312" w:cs="宋体"/>
                <w:b/>
                <w:bCs/>
                <w:color w:val="000000"/>
                <w:kern w:val="0"/>
                <w:sz w:val="18"/>
                <w:szCs w:val="18"/>
                <w:lang w:val="en-US" w:eastAsia="zh-CN"/>
              </w:rPr>
            </w:pPr>
            <w:r>
              <w:rPr>
                <w:rFonts w:hint="eastAsia" w:ascii="仿宋_GB2312" w:eastAsia="仿宋_GB2312" w:cs="宋体"/>
                <w:b/>
                <w:bCs/>
                <w:color w:val="000000"/>
                <w:kern w:val="0"/>
                <w:sz w:val="18"/>
                <w:szCs w:val="18"/>
                <w:lang w:val="en-US" w:eastAsia="zh-CN"/>
              </w:rPr>
              <w:t>物料</w:t>
            </w:r>
          </w:p>
        </w:tc>
        <w:tc>
          <w:tcPr>
            <w:tcW w:w="1983" w:type="dxa"/>
            <w:tcBorders>
              <w:top w:val="single" w:color="000000" w:sz="8" w:space="0"/>
              <w:left w:val="nil"/>
              <w:bottom w:val="single" w:color="auto" w:sz="4" w:space="0"/>
              <w:right w:val="single" w:color="000000" w:sz="8" w:space="0"/>
            </w:tcBorders>
            <w:shd w:val="clear" w:color="auto" w:fill="auto"/>
            <w:vAlign w:val="center"/>
          </w:tcPr>
          <w:p>
            <w:pPr>
              <w:widowControl/>
              <w:ind w:left="0" w:leftChars="0" w:firstLine="0" w:firstLineChars="0"/>
              <w:jc w:val="center"/>
              <w:rPr>
                <w:rFonts w:hint="default" w:ascii="仿宋_GB2312" w:hAnsi="宋体" w:eastAsia="仿宋_GB2312" w:cs="宋体"/>
                <w:b/>
                <w:bCs/>
                <w:color w:val="000000"/>
                <w:kern w:val="0"/>
                <w:sz w:val="18"/>
                <w:szCs w:val="18"/>
                <w:lang w:val="en-US" w:eastAsia="zh-CN"/>
              </w:rPr>
            </w:pPr>
            <w:r>
              <w:rPr>
                <w:rFonts w:hint="eastAsia" w:ascii="仿宋_GB2312" w:hAnsi="宋体" w:eastAsia="仿宋_GB2312" w:cs="宋体"/>
                <w:b/>
                <w:bCs/>
                <w:color w:val="000000"/>
                <w:kern w:val="0"/>
                <w:sz w:val="18"/>
                <w:szCs w:val="18"/>
              </w:rPr>
              <w:t>物</w:t>
            </w:r>
            <w:r>
              <w:rPr>
                <w:rFonts w:hint="eastAsia" w:ascii="仿宋_GB2312" w:hAnsi="宋体" w:eastAsia="仿宋_GB2312" w:cs="宋体"/>
                <w:b/>
                <w:bCs/>
                <w:color w:val="000000"/>
                <w:kern w:val="0"/>
                <w:sz w:val="18"/>
                <w:szCs w:val="18"/>
                <w:lang w:val="en-US" w:eastAsia="zh-CN"/>
              </w:rPr>
              <w:t>料</w:t>
            </w:r>
            <w:r>
              <w:rPr>
                <w:rFonts w:hint="eastAsia" w:ascii="仿宋_GB2312" w:eastAsia="仿宋_GB2312" w:cs="宋体"/>
                <w:b/>
                <w:bCs/>
                <w:color w:val="000000"/>
                <w:kern w:val="0"/>
                <w:sz w:val="18"/>
                <w:szCs w:val="18"/>
                <w:lang w:val="en-US" w:eastAsia="zh-CN"/>
              </w:rPr>
              <w:t>包含类别</w:t>
            </w:r>
          </w:p>
        </w:tc>
        <w:tc>
          <w:tcPr>
            <w:tcW w:w="4272" w:type="dxa"/>
            <w:tcBorders>
              <w:top w:val="single" w:color="000000" w:sz="8" w:space="0"/>
              <w:left w:val="nil"/>
              <w:bottom w:val="single" w:color="auto" w:sz="4" w:space="0"/>
              <w:right w:val="single" w:color="000000" w:sz="8" w:space="0"/>
            </w:tcBorders>
            <w:shd w:val="clear" w:color="auto" w:fill="auto"/>
            <w:vAlign w:val="center"/>
          </w:tcPr>
          <w:p>
            <w:pPr>
              <w:widowControl/>
              <w:ind w:left="0" w:leftChars="0" w:firstLine="0" w:firstLineChars="0"/>
              <w:jc w:val="center"/>
              <w:rPr>
                <w:rFonts w:hint="default" w:ascii="仿宋_GB2312" w:hAnsi="宋体" w:eastAsia="仿宋_GB2312" w:cs="宋体"/>
                <w:b/>
                <w:bCs/>
                <w:color w:val="000000"/>
                <w:kern w:val="0"/>
                <w:sz w:val="18"/>
                <w:szCs w:val="18"/>
                <w:lang w:val="en-US"/>
              </w:rPr>
            </w:pPr>
            <w:r>
              <w:rPr>
                <w:rFonts w:hint="eastAsia" w:ascii="仿宋_GB2312" w:eastAsia="仿宋_GB2312" w:cs="宋体"/>
                <w:b/>
                <w:bCs/>
                <w:color w:val="000000"/>
                <w:kern w:val="0"/>
                <w:sz w:val="18"/>
                <w:szCs w:val="18"/>
                <w:lang w:val="en-US" w:eastAsia="zh-CN"/>
              </w:rPr>
              <w:t>主要材质规格要求</w:t>
            </w:r>
          </w:p>
        </w:tc>
      </w:tr>
      <w:tr>
        <w:tblPrEx>
          <w:tblCellMar>
            <w:top w:w="0" w:type="dxa"/>
            <w:left w:w="108" w:type="dxa"/>
            <w:bottom w:w="0" w:type="dxa"/>
            <w:right w:w="108" w:type="dxa"/>
          </w:tblCellMar>
        </w:tblPrEx>
        <w:trPr>
          <w:trHeight w:val="354" w:hRule="atLeast"/>
        </w:trPr>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cs="宋体"/>
                <w:i w:val="0"/>
                <w:color w:val="000000"/>
                <w:kern w:val="0"/>
                <w:sz w:val="18"/>
                <w:szCs w:val="18"/>
                <w:highlight w:val="none"/>
                <w:u w:val="none"/>
                <w:lang w:val="en-US" w:eastAsia="zh-CN" w:bidi="ar"/>
              </w:rPr>
              <w:t>钢材</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钢板</w:t>
            </w:r>
          </w:p>
        </w:tc>
        <w:tc>
          <w:tcPr>
            <w:tcW w:w="42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bCs/>
                <w:color w:val="000000"/>
                <w:kern w:val="0"/>
                <w:sz w:val="18"/>
                <w:szCs w:val="18"/>
                <w:highlight w:val="none"/>
                <w:lang w:val="en-US"/>
              </w:rPr>
            </w:pPr>
            <w:r>
              <w:rPr>
                <w:rFonts w:hint="eastAsia" w:ascii="宋体" w:hAnsi="宋体" w:eastAsia="宋体" w:cs="宋体"/>
                <w:i w:val="0"/>
                <w:color w:val="000000"/>
                <w:kern w:val="0"/>
                <w:sz w:val="18"/>
                <w:szCs w:val="18"/>
                <w:highlight w:val="none"/>
                <w:u w:val="none"/>
                <w:lang w:val="en-US" w:eastAsia="zh-CN" w:bidi="ar"/>
              </w:rPr>
              <w:t>国标Q235B，20mm</w:t>
            </w:r>
            <w:r>
              <w:rPr>
                <w:rFonts w:hint="eastAsia" w:cs="宋体"/>
                <w:i w:val="0"/>
                <w:color w:val="000000"/>
                <w:kern w:val="0"/>
                <w:sz w:val="18"/>
                <w:szCs w:val="18"/>
                <w:highlight w:val="none"/>
                <w:u w:val="none"/>
                <w:lang w:val="en-US" w:eastAsia="zh-CN" w:bidi="ar"/>
              </w:rPr>
              <w:t>厚</w:t>
            </w:r>
          </w:p>
        </w:tc>
      </w:tr>
      <w:tr>
        <w:tblPrEx>
          <w:tblCellMar>
            <w:top w:w="0" w:type="dxa"/>
            <w:left w:w="108" w:type="dxa"/>
            <w:bottom w:w="0" w:type="dxa"/>
            <w:right w:w="108" w:type="dxa"/>
          </w:tblCellMar>
        </w:tblPrEx>
        <w:trPr>
          <w:trHeight w:val="312" w:hRule="atLeast"/>
        </w:trPr>
        <w:tc>
          <w:tcPr>
            <w:tcW w:w="1211"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1232" w:type="dxa"/>
            <w:vMerge w:val="continue"/>
            <w:tcBorders>
              <w:top w:val="single" w:color="auto" w:sz="4" w:space="0"/>
              <w:left w:val="nil"/>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98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钢板</w:t>
            </w:r>
          </w:p>
        </w:tc>
        <w:tc>
          <w:tcPr>
            <w:tcW w:w="4272" w:type="dxa"/>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hint="default" w:ascii="等线" w:hAnsi="等线" w:eastAsia="等线" w:cs="宋体"/>
                <w:b/>
                <w:bCs/>
                <w:color w:val="000000"/>
                <w:kern w:val="0"/>
                <w:sz w:val="18"/>
                <w:szCs w:val="18"/>
                <w:highlight w:val="none"/>
                <w:lang w:val="en-US"/>
              </w:rPr>
            </w:pPr>
            <w:r>
              <w:rPr>
                <w:rFonts w:hint="eastAsia" w:ascii="宋体" w:hAnsi="宋体" w:eastAsia="宋体" w:cs="宋体"/>
                <w:i w:val="0"/>
                <w:color w:val="000000"/>
                <w:kern w:val="0"/>
                <w:sz w:val="18"/>
                <w:szCs w:val="18"/>
                <w:highlight w:val="none"/>
                <w:u w:val="none"/>
                <w:lang w:val="en-US" w:eastAsia="zh-CN" w:bidi="ar"/>
              </w:rPr>
              <w:t>国标Q235B，12mm</w:t>
            </w:r>
            <w:r>
              <w:rPr>
                <w:rFonts w:hint="eastAsia" w:cs="宋体"/>
                <w:i w:val="0"/>
                <w:color w:val="000000"/>
                <w:kern w:val="0"/>
                <w:sz w:val="18"/>
                <w:szCs w:val="18"/>
                <w:highlight w:val="none"/>
                <w:u w:val="none"/>
                <w:lang w:val="en-US" w:eastAsia="zh-CN" w:bidi="ar"/>
              </w:rPr>
              <w:t>厚</w:t>
            </w:r>
          </w:p>
        </w:tc>
      </w:tr>
      <w:tr>
        <w:tblPrEx>
          <w:tblCellMar>
            <w:top w:w="0" w:type="dxa"/>
            <w:left w:w="108" w:type="dxa"/>
            <w:bottom w:w="0" w:type="dxa"/>
            <w:right w:w="108" w:type="dxa"/>
          </w:tblCellMar>
        </w:tblPrEx>
        <w:trPr>
          <w:trHeight w:val="217" w:hRule="atLeast"/>
        </w:trPr>
        <w:tc>
          <w:tcPr>
            <w:tcW w:w="1211" w:type="dxa"/>
            <w:tcBorders>
              <w:top w:val="nil"/>
              <w:left w:val="single" w:color="000000" w:sz="8" w:space="0"/>
              <w:bottom w:val="single" w:color="auto" w:sz="4" w:space="0"/>
              <w:right w:val="single" w:color="000000" w:sz="8"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highlight w:val="none"/>
                <w:lang w:eastAsia="zh-CN"/>
              </w:rPr>
            </w:pPr>
            <w:r>
              <w:rPr>
                <w:rFonts w:hint="eastAsia" w:hAnsi="宋体" w:cs="宋体"/>
                <w:b/>
                <w:bCs/>
                <w:color w:val="000000"/>
                <w:kern w:val="0"/>
                <w:sz w:val="18"/>
                <w:szCs w:val="18"/>
                <w:highlight w:val="none"/>
                <w:lang w:val="en-US" w:eastAsia="zh-CN"/>
              </w:rPr>
              <w:t>3</w:t>
            </w:r>
          </w:p>
        </w:tc>
        <w:tc>
          <w:tcPr>
            <w:tcW w:w="1232" w:type="dxa"/>
            <w:vMerge w:val="continue"/>
            <w:tcBorders>
              <w:left w:val="nil"/>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98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H型钢</w:t>
            </w:r>
          </w:p>
        </w:tc>
        <w:tc>
          <w:tcPr>
            <w:tcW w:w="4272" w:type="dxa"/>
            <w:tcBorders>
              <w:top w:val="nil"/>
              <w:left w:val="nil"/>
              <w:bottom w:val="single" w:color="auto" w:sz="4" w:space="0"/>
              <w:right w:val="single" w:color="000000" w:sz="8" w:space="0"/>
            </w:tcBorders>
            <w:shd w:val="clear" w:color="auto" w:fill="auto"/>
            <w:noWrap/>
            <w:vAlign w:val="center"/>
          </w:tcPr>
          <w:p>
            <w:pPr>
              <w:widowControl/>
              <w:jc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国标H*B=400*200mm，L=12M</w:t>
            </w:r>
          </w:p>
        </w:tc>
      </w:tr>
      <w:tr>
        <w:tblPrEx>
          <w:tblCellMar>
            <w:top w:w="0" w:type="dxa"/>
            <w:left w:w="108" w:type="dxa"/>
            <w:bottom w:w="0" w:type="dxa"/>
            <w:right w:w="108" w:type="dxa"/>
          </w:tblCellMar>
        </w:tblPrEx>
        <w:trPr>
          <w:trHeight w:val="263" w:hRule="atLeast"/>
        </w:trPr>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highlight w:val="none"/>
                <w:lang w:val="en-US" w:eastAsia="zh-CN"/>
              </w:rPr>
            </w:pPr>
            <w:r>
              <w:rPr>
                <w:rFonts w:hint="eastAsia" w:hAnsi="宋体" w:cs="宋体"/>
                <w:b/>
                <w:bCs/>
                <w:color w:val="000000"/>
                <w:kern w:val="0"/>
                <w:sz w:val="18"/>
                <w:szCs w:val="18"/>
                <w:highlight w:val="none"/>
                <w:lang w:val="en-US" w:eastAsia="zh-CN"/>
              </w:rPr>
              <w:t>4</w:t>
            </w:r>
          </w:p>
        </w:tc>
        <w:tc>
          <w:tcPr>
            <w:tcW w:w="1232" w:type="dxa"/>
            <w:vMerge w:val="continue"/>
            <w:tcBorders>
              <w:left w:val="nil"/>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H型钢</w:t>
            </w:r>
          </w:p>
        </w:tc>
        <w:tc>
          <w:tcPr>
            <w:tcW w:w="42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国标H*B=200*100mm，L=12M</w:t>
            </w:r>
          </w:p>
        </w:tc>
      </w:tr>
      <w:tr>
        <w:tblPrEx>
          <w:tblCellMar>
            <w:top w:w="0" w:type="dxa"/>
            <w:left w:w="108" w:type="dxa"/>
            <w:bottom w:w="0" w:type="dxa"/>
            <w:right w:w="108" w:type="dxa"/>
          </w:tblCellMar>
        </w:tblPrEx>
        <w:trPr>
          <w:trHeight w:val="287" w:hRule="atLeast"/>
        </w:trPr>
        <w:tc>
          <w:tcPr>
            <w:tcW w:w="1211"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ind w:left="0" w:leftChars="0" w:firstLine="0" w:firstLineChars="0"/>
              <w:jc w:val="center"/>
              <w:rPr>
                <w:rFonts w:hint="default" w:hAnsi="宋体" w:cs="宋体"/>
                <w:b/>
                <w:bCs/>
                <w:color w:val="000000"/>
                <w:kern w:val="0"/>
                <w:sz w:val="18"/>
                <w:szCs w:val="18"/>
                <w:highlight w:val="none"/>
                <w:lang w:val="en-US" w:eastAsia="zh-CN"/>
              </w:rPr>
            </w:pPr>
            <w:r>
              <w:rPr>
                <w:rFonts w:hint="eastAsia" w:cs="宋体"/>
                <w:b/>
                <w:bCs/>
                <w:color w:val="000000"/>
                <w:kern w:val="0"/>
                <w:sz w:val="18"/>
                <w:szCs w:val="18"/>
                <w:highlight w:val="none"/>
                <w:lang w:val="en-US" w:eastAsia="zh-CN"/>
              </w:rPr>
              <w:t>5</w:t>
            </w:r>
          </w:p>
        </w:tc>
        <w:tc>
          <w:tcPr>
            <w:tcW w:w="1232"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cs="宋体"/>
                <w:i w:val="0"/>
                <w:color w:val="000000"/>
                <w:kern w:val="0"/>
                <w:sz w:val="18"/>
                <w:szCs w:val="18"/>
                <w:highlight w:val="none"/>
                <w:u w:val="none"/>
                <w:lang w:val="en-US" w:eastAsia="zh-CN" w:bidi="ar"/>
              </w:rPr>
            </w:pPr>
          </w:p>
        </w:tc>
        <w:tc>
          <w:tcPr>
            <w:tcW w:w="198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cs="宋体"/>
                <w:i w:val="0"/>
                <w:color w:val="000000"/>
                <w:kern w:val="0"/>
                <w:sz w:val="18"/>
                <w:szCs w:val="18"/>
                <w:highlight w:val="none"/>
                <w:u w:val="none"/>
                <w:lang w:val="en-US" w:eastAsia="zh-CN" w:bidi="ar"/>
              </w:rPr>
              <w:t>无缝钢管</w:t>
            </w:r>
          </w:p>
        </w:tc>
        <w:tc>
          <w:tcPr>
            <w:tcW w:w="4272" w:type="dxa"/>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国标外径</w:t>
            </w:r>
            <w:r>
              <w:rPr>
                <w:rFonts w:hint="eastAsia" w:cs="宋体"/>
                <w:i w:val="0"/>
                <w:color w:val="000000"/>
                <w:kern w:val="0"/>
                <w:sz w:val="18"/>
                <w:szCs w:val="18"/>
                <w:highlight w:val="none"/>
                <w:u w:val="none"/>
                <w:lang w:val="en-US" w:eastAsia="zh-CN" w:bidi="ar"/>
              </w:rPr>
              <w:t>180</w:t>
            </w:r>
            <w:r>
              <w:rPr>
                <w:rFonts w:hint="eastAsia" w:ascii="宋体" w:hAnsi="宋体" w:eastAsia="宋体" w:cs="宋体"/>
                <w:i w:val="0"/>
                <w:color w:val="000000"/>
                <w:kern w:val="0"/>
                <w:sz w:val="18"/>
                <w:szCs w:val="18"/>
                <w:highlight w:val="none"/>
                <w:u w:val="none"/>
                <w:lang w:val="en-US" w:eastAsia="zh-CN" w:bidi="ar"/>
              </w:rPr>
              <w:t>mm，L=7M,壁厚15mm</w:t>
            </w:r>
          </w:p>
        </w:tc>
      </w:tr>
    </w:tbl>
    <w:p>
      <w:pPr>
        <w:spacing w:line="360" w:lineRule="auto"/>
        <w:ind w:firstLine="240" w:firstLineChars="100"/>
        <w:rPr>
          <w:rFonts w:hint="default" w:eastAsia="宋体" w:cs="仿宋"/>
          <w:bCs/>
          <w:lang w:val="en-US" w:eastAsia="zh-CN"/>
        </w:rPr>
      </w:pPr>
    </w:p>
    <w:p>
      <w:pPr>
        <w:spacing w:line="360" w:lineRule="auto"/>
        <w:ind w:firstLine="480" w:firstLineChars="200"/>
        <w:rPr>
          <w:rFonts w:hint="eastAsia" w:cs="仿宋"/>
          <w:bCs/>
        </w:rPr>
      </w:pPr>
      <w:r>
        <w:rPr>
          <w:rFonts w:hint="eastAsia" w:cs="仿宋"/>
          <w:bCs/>
          <w:lang w:val="en-US" w:eastAsia="zh-CN"/>
        </w:rPr>
        <w:t>三</w:t>
      </w:r>
      <w:r>
        <w:rPr>
          <w:rFonts w:hint="eastAsia" w:cs="仿宋"/>
          <w:bCs/>
        </w:rPr>
        <w:t>、合同工期</w:t>
      </w:r>
    </w:p>
    <w:p>
      <w:pPr>
        <w:spacing w:line="360" w:lineRule="auto"/>
        <w:ind w:firstLine="480" w:firstLineChars="200"/>
        <w:rPr>
          <w:rFonts w:hint="eastAsia" w:cs="仿宋"/>
          <w:bCs/>
        </w:rPr>
      </w:pPr>
      <w:r>
        <w:rPr>
          <w:rFonts w:hint="eastAsia" w:cs="仿宋"/>
          <w:bCs/>
        </w:rPr>
        <w:t>总工期：</w:t>
      </w:r>
      <w:r>
        <w:rPr>
          <w:rFonts w:hint="eastAsia" w:cs="仿宋"/>
          <w:bCs/>
          <w:lang w:val="en-US" w:eastAsia="zh-CN"/>
        </w:rPr>
        <w:t>10</w:t>
      </w:r>
      <w:r>
        <w:rPr>
          <w:rFonts w:hint="eastAsia" w:cs="仿宋"/>
          <w:bCs/>
        </w:rPr>
        <w:t>天，自合同签订之日起开始计算。</w:t>
      </w:r>
    </w:p>
    <w:p>
      <w:pPr>
        <w:spacing w:line="360" w:lineRule="auto"/>
        <w:ind w:firstLine="480" w:firstLineChars="200"/>
        <w:rPr>
          <w:rFonts w:hint="eastAsia" w:cs="仿宋"/>
          <w:bCs/>
        </w:rPr>
      </w:pPr>
      <w:r>
        <w:rPr>
          <w:rFonts w:hint="eastAsia" w:cs="仿宋"/>
          <w:bCs/>
          <w:lang w:val="en-US" w:eastAsia="zh-CN"/>
        </w:rPr>
        <w:t>四</w:t>
      </w:r>
      <w:r>
        <w:rPr>
          <w:rFonts w:hint="eastAsia" w:cs="仿宋"/>
          <w:bCs/>
        </w:rPr>
        <w:t>、价格</w:t>
      </w:r>
      <w:r>
        <w:rPr>
          <w:rFonts w:hint="eastAsia" w:cs="仿宋"/>
          <w:bCs/>
          <w:lang w:eastAsia="zh-CN"/>
        </w:rPr>
        <w:t>、</w:t>
      </w:r>
      <w:r>
        <w:rPr>
          <w:rFonts w:hint="eastAsia" w:cs="仿宋"/>
          <w:bCs/>
          <w:lang w:val="en-US" w:eastAsia="zh-CN"/>
        </w:rPr>
        <w:t>结算</w:t>
      </w:r>
      <w:r>
        <w:rPr>
          <w:rFonts w:hint="eastAsia" w:cs="仿宋"/>
          <w:bCs/>
        </w:rPr>
        <w:t>及付款</w:t>
      </w:r>
    </w:p>
    <w:p>
      <w:pPr>
        <w:spacing w:line="360" w:lineRule="auto"/>
        <w:ind w:firstLine="480" w:firstLineChars="200"/>
        <w:rPr>
          <w:rFonts w:hint="eastAsia" w:cs="仿宋"/>
          <w:bCs/>
          <w:lang w:val="en-US" w:eastAsia="zh-CN"/>
        </w:rPr>
      </w:pPr>
      <w:r>
        <w:rPr>
          <w:rFonts w:hint="eastAsia" w:cs="仿宋"/>
          <w:bCs/>
        </w:rPr>
        <w:t>1、</w:t>
      </w:r>
      <w:r>
        <w:rPr>
          <w:rFonts w:hint="eastAsia" w:cs="仿宋"/>
          <w:bCs/>
          <w:lang w:val="en-US" w:eastAsia="zh-CN"/>
        </w:rPr>
        <w:t>价格</w:t>
      </w:r>
    </w:p>
    <w:p>
      <w:pPr>
        <w:spacing w:line="360" w:lineRule="auto"/>
        <w:ind w:firstLine="480" w:firstLineChars="200"/>
        <w:rPr>
          <w:rFonts w:hint="eastAsia" w:cs="仿宋"/>
          <w:bCs/>
        </w:rPr>
      </w:pPr>
      <w:r>
        <w:rPr>
          <w:rFonts w:hint="eastAsia" w:cs="仿宋"/>
          <w:bCs/>
        </w:rPr>
        <w:t>本</w:t>
      </w:r>
      <w:r>
        <w:rPr>
          <w:rFonts w:hint="eastAsia" w:cs="仿宋"/>
          <w:bCs/>
          <w:lang w:val="en-US" w:eastAsia="zh-CN"/>
        </w:rPr>
        <w:t>项目综合单价包干金额</w:t>
      </w:r>
      <w:r>
        <w:rPr>
          <w:rFonts w:hint="eastAsia" w:cs="仿宋"/>
          <w:bCs/>
        </w:rPr>
        <w:t>：</w:t>
      </w:r>
      <w:r>
        <w:rPr>
          <w:rFonts w:hint="eastAsia" w:cs="仿宋"/>
          <w:bCs/>
          <w:lang w:val="en-US" w:eastAsia="zh-CN"/>
        </w:rPr>
        <w:t xml:space="preserve">    </w:t>
      </w:r>
      <w:r>
        <w:rPr>
          <w:rFonts w:hint="eastAsia" w:cs="仿宋"/>
          <w:bCs/>
        </w:rPr>
        <w:t>元</w:t>
      </w:r>
      <w:r>
        <w:rPr>
          <w:rFonts w:hint="eastAsia" w:cs="仿宋"/>
          <w:bCs/>
          <w:lang w:val="en-US" w:eastAsia="zh-CN"/>
        </w:rPr>
        <w:t>/吨</w:t>
      </w:r>
      <w:r>
        <w:rPr>
          <w:rFonts w:hint="eastAsia" w:cs="仿宋"/>
          <w:bCs/>
        </w:rPr>
        <w:t>（含税9%），</w:t>
      </w:r>
      <w:r>
        <w:rPr>
          <w:rFonts w:hint="eastAsia" w:cs="仿宋"/>
          <w:bCs/>
          <w:lang w:val="en-US" w:eastAsia="zh-CN"/>
        </w:rPr>
        <w:t>暂定总金额：     元。综合单价</w:t>
      </w:r>
      <w:r>
        <w:rPr>
          <w:rFonts w:hint="eastAsia" w:cs="仿宋"/>
          <w:bCs/>
        </w:rPr>
        <w:t>包括材料费、运输费、施工费、机械费、人工费、资料、各项检测及各项验收费、税金等全部费用。</w:t>
      </w:r>
    </w:p>
    <w:p>
      <w:pPr>
        <w:numPr>
          <w:ilvl w:val="0"/>
          <w:numId w:val="2"/>
        </w:numPr>
        <w:spacing w:line="360" w:lineRule="auto"/>
        <w:ind w:firstLine="480" w:firstLineChars="200"/>
        <w:rPr>
          <w:rFonts w:hint="eastAsia" w:cs="仿宋"/>
          <w:bCs/>
          <w:lang w:val="en-US" w:eastAsia="zh-CN"/>
        </w:rPr>
      </w:pPr>
      <w:r>
        <w:rPr>
          <w:rFonts w:hint="eastAsia" w:cs="仿宋"/>
          <w:bCs/>
          <w:lang w:val="en-US" w:eastAsia="zh-CN"/>
        </w:rPr>
        <w:t>结算</w:t>
      </w:r>
    </w:p>
    <w:p>
      <w:pPr>
        <w:numPr>
          <w:ilvl w:val="0"/>
          <w:numId w:val="0"/>
        </w:numPr>
        <w:spacing w:line="360" w:lineRule="auto"/>
        <w:ind w:firstLine="480" w:firstLineChars="200"/>
        <w:rPr>
          <w:rFonts w:hint="default" w:cs="仿宋"/>
          <w:bCs/>
          <w:lang w:val="en-US" w:eastAsia="zh-CN"/>
        </w:rPr>
      </w:pPr>
      <w:r>
        <w:rPr>
          <w:rFonts w:hint="eastAsia" w:cs="仿宋"/>
          <w:bCs/>
          <w:lang w:val="en-US" w:eastAsia="zh-CN"/>
        </w:rPr>
        <w:t>结算金额=物料实际重量*综合单价，物料实际重量以甲方过磅计量为准。</w:t>
      </w:r>
    </w:p>
    <w:p>
      <w:pPr>
        <w:numPr>
          <w:ilvl w:val="0"/>
          <w:numId w:val="2"/>
        </w:numPr>
        <w:spacing w:line="360" w:lineRule="auto"/>
        <w:ind w:left="0" w:leftChars="0" w:firstLine="480" w:firstLineChars="200"/>
        <w:rPr>
          <w:rFonts w:hint="eastAsia" w:cs="仿宋"/>
          <w:bCs/>
          <w:lang w:val="en-US" w:eastAsia="zh-CN"/>
        </w:rPr>
      </w:pPr>
      <w:r>
        <w:rPr>
          <w:rFonts w:hint="eastAsia" w:cs="仿宋"/>
          <w:bCs/>
          <w:lang w:val="en-US" w:eastAsia="zh-CN"/>
        </w:rPr>
        <w:t>付款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s="仿宋"/>
          <w:bCs/>
        </w:rPr>
      </w:pPr>
      <w:r>
        <w:rPr>
          <w:rFonts w:hint="eastAsia" w:cs="仿宋"/>
          <w:bCs/>
        </w:rPr>
        <w:t>竣工验收合格</w:t>
      </w:r>
      <w:r>
        <w:rPr>
          <w:rFonts w:hint="eastAsia" w:cs="仿宋"/>
          <w:bCs/>
          <w:lang w:val="en-US" w:eastAsia="zh-CN"/>
        </w:rPr>
        <w:t>并由甲乙双方共同确认结算金额后</w:t>
      </w:r>
      <w:r>
        <w:rPr>
          <w:rFonts w:hint="eastAsia" w:cs="仿宋"/>
          <w:bCs/>
        </w:rPr>
        <w:t>，乙方开足100%增值税</w:t>
      </w:r>
      <w:r>
        <w:rPr>
          <w:rFonts w:hint="eastAsia" w:cs="仿宋"/>
          <w:bCs/>
          <w:lang w:eastAsia="zh-CN"/>
        </w:rPr>
        <w:t>（</w:t>
      </w:r>
      <w:r>
        <w:rPr>
          <w:rFonts w:hint="eastAsia" w:cs="仿宋"/>
          <w:bCs/>
          <w:lang w:val="en-US" w:eastAsia="zh-CN"/>
        </w:rPr>
        <w:t>税率9%</w:t>
      </w:r>
      <w:r>
        <w:rPr>
          <w:rFonts w:hint="eastAsia" w:cs="仿宋"/>
          <w:bCs/>
          <w:lang w:eastAsia="zh-CN"/>
        </w:rPr>
        <w:t>）</w:t>
      </w:r>
      <w:r>
        <w:rPr>
          <w:rFonts w:hint="eastAsia" w:cs="仿宋"/>
          <w:bCs/>
        </w:rPr>
        <w:t>专用发票</w:t>
      </w:r>
      <w:r>
        <w:rPr>
          <w:rFonts w:hint="eastAsia" w:cs="仿宋"/>
          <w:bCs/>
          <w:lang w:val="en-US" w:eastAsia="zh-CN"/>
        </w:rPr>
        <w:t>交于甲方办理财务入账手续</w:t>
      </w:r>
      <w:r>
        <w:rPr>
          <w:rFonts w:hint="eastAsia" w:cs="仿宋"/>
          <w:bCs/>
        </w:rPr>
        <w:t>，甲方</w:t>
      </w:r>
      <w:r>
        <w:rPr>
          <w:rFonts w:hint="eastAsia" w:cs="仿宋"/>
          <w:bCs/>
          <w:lang w:val="en-US" w:eastAsia="zh-CN"/>
        </w:rPr>
        <w:t>次月以电汇方式</w:t>
      </w:r>
      <w:r>
        <w:rPr>
          <w:rFonts w:hint="eastAsia" w:cs="仿宋"/>
          <w:bCs/>
        </w:rPr>
        <w:t>支付</w:t>
      </w:r>
      <w:r>
        <w:rPr>
          <w:rFonts w:hint="eastAsia" w:cs="仿宋"/>
          <w:bCs/>
          <w:lang w:val="en-US" w:eastAsia="zh-CN"/>
        </w:rPr>
        <w:t>乙方整改费用</w:t>
      </w:r>
      <w:r>
        <w:rPr>
          <w:rFonts w:hint="eastAsia" w:cs="仿宋"/>
          <w:bCs/>
        </w:rPr>
        <w:t>。</w:t>
      </w:r>
    </w:p>
    <w:p>
      <w:pPr>
        <w:spacing w:line="360" w:lineRule="auto"/>
        <w:ind w:firstLine="480" w:firstLineChars="200"/>
        <w:rPr>
          <w:rFonts w:hint="eastAsia" w:cs="仿宋"/>
          <w:bCs/>
        </w:rPr>
      </w:pPr>
      <w:r>
        <w:rPr>
          <w:rFonts w:hint="eastAsia" w:cs="仿宋"/>
          <w:bCs/>
          <w:lang w:val="en-US" w:eastAsia="zh-CN"/>
        </w:rPr>
        <w:t>五</w:t>
      </w:r>
      <w:r>
        <w:rPr>
          <w:rFonts w:hint="eastAsia" w:cs="仿宋"/>
          <w:bCs/>
        </w:rPr>
        <w:t>、施工质量要求</w:t>
      </w:r>
    </w:p>
    <w:p>
      <w:pPr>
        <w:spacing w:line="360" w:lineRule="auto"/>
        <w:ind w:firstLine="480" w:firstLineChars="200"/>
        <w:rPr>
          <w:rFonts w:hint="default" w:eastAsia="宋体" w:cs="仿宋"/>
          <w:bCs/>
          <w:lang w:val="en-US" w:eastAsia="zh-CN"/>
        </w:rPr>
      </w:pPr>
      <w:r>
        <w:rPr>
          <w:rFonts w:hint="eastAsia" w:cs="仿宋"/>
          <w:bCs/>
          <w:lang w:val="en-US" w:eastAsia="zh-CN"/>
        </w:rPr>
        <w:t>隐患整改所需材料材质、规格以合同要求为准。</w:t>
      </w:r>
    </w:p>
    <w:p>
      <w:pPr>
        <w:spacing w:line="360" w:lineRule="auto"/>
        <w:ind w:firstLine="480" w:firstLineChars="200"/>
        <w:rPr>
          <w:rFonts w:hint="eastAsia" w:cs="仿宋"/>
          <w:bCs/>
        </w:rPr>
      </w:pPr>
      <w:r>
        <w:rPr>
          <w:rFonts w:hint="eastAsia" w:cs="仿宋"/>
          <w:bCs/>
        </w:rPr>
        <w:t>质量</w:t>
      </w:r>
      <w:r>
        <w:rPr>
          <w:rFonts w:hint="eastAsia" w:cs="仿宋"/>
          <w:bCs/>
          <w:lang w:val="en-US" w:eastAsia="zh-CN"/>
        </w:rPr>
        <w:t>验收</w:t>
      </w:r>
      <w:r>
        <w:rPr>
          <w:rFonts w:hint="eastAsia" w:cs="仿宋"/>
          <w:bCs/>
        </w:rPr>
        <w:t>标准：合格</w:t>
      </w:r>
    </w:p>
    <w:p>
      <w:pPr>
        <w:spacing w:line="360" w:lineRule="auto"/>
        <w:ind w:firstLine="480" w:firstLineChars="200"/>
        <w:rPr>
          <w:rFonts w:hint="eastAsia" w:cs="仿宋"/>
          <w:bCs/>
        </w:rPr>
      </w:pPr>
      <w:r>
        <w:rPr>
          <w:rFonts w:hint="eastAsia" w:cs="仿宋"/>
          <w:bCs/>
          <w:lang w:val="en-US" w:eastAsia="zh-CN"/>
        </w:rPr>
        <w:t>六</w:t>
      </w:r>
      <w:r>
        <w:rPr>
          <w:rFonts w:hint="eastAsia" w:cs="仿宋"/>
          <w:bCs/>
        </w:rPr>
        <w:t>、质保期</w:t>
      </w:r>
    </w:p>
    <w:p>
      <w:pPr>
        <w:spacing w:line="360" w:lineRule="auto"/>
        <w:ind w:firstLine="480" w:firstLineChars="200"/>
        <w:rPr>
          <w:rFonts w:hint="eastAsia" w:cs="仿宋"/>
          <w:bCs/>
        </w:rPr>
      </w:pPr>
      <w:r>
        <w:rPr>
          <w:rFonts w:hint="eastAsia" w:cs="仿宋"/>
          <w:bCs/>
        </w:rPr>
        <w:t>本工程竣工并验收合格之日起计算质保期，质保期1年，</w:t>
      </w:r>
    </w:p>
    <w:p>
      <w:pPr>
        <w:spacing w:line="360" w:lineRule="auto"/>
        <w:ind w:firstLine="480" w:firstLineChars="200"/>
        <w:rPr>
          <w:rFonts w:hint="eastAsia" w:cs="仿宋"/>
          <w:bCs/>
        </w:rPr>
      </w:pPr>
      <w:r>
        <w:rPr>
          <w:rFonts w:hint="eastAsia" w:cs="仿宋"/>
          <w:bCs/>
          <w:lang w:val="en-US" w:eastAsia="zh-CN"/>
        </w:rPr>
        <w:t>七</w:t>
      </w:r>
      <w:r>
        <w:rPr>
          <w:rFonts w:hint="eastAsia" w:cs="仿宋"/>
          <w:bCs/>
        </w:rPr>
        <w:t>、双方职责</w:t>
      </w:r>
    </w:p>
    <w:p>
      <w:pPr>
        <w:spacing w:line="360" w:lineRule="auto"/>
        <w:ind w:firstLine="480" w:firstLineChars="200"/>
        <w:rPr>
          <w:rFonts w:hint="eastAsia" w:cs="仿宋"/>
          <w:bCs/>
        </w:rPr>
      </w:pPr>
      <w:r>
        <w:rPr>
          <w:rFonts w:hint="eastAsia" w:cs="仿宋"/>
          <w:bCs/>
        </w:rPr>
        <w:t>(一)甲方职责：</w:t>
      </w:r>
    </w:p>
    <w:p>
      <w:pPr>
        <w:spacing w:line="360" w:lineRule="auto"/>
        <w:ind w:firstLine="480" w:firstLineChars="200"/>
        <w:rPr>
          <w:rFonts w:hint="eastAsia" w:cs="仿宋"/>
          <w:bCs/>
        </w:rPr>
      </w:pPr>
      <w:r>
        <w:rPr>
          <w:rFonts w:hint="eastAsia" w:cs="仿宋"/>
          <w:bCs/>
        </w:rPr>
        <w:t>1、组织对质量检查监督</w:t>
      </w:r>
      <w:r>
        <w:rPr>
          <w:rFonts w:hint="eastAsia" w:cs="仿宋"/>
          <w:bCs/>
          <w:lang w:val="en-US" w:eastAsia="zh-CN"/>
        </w:rPr>
        <w:t>及验收。</w:t>
      </w:r>
    </w:p>
    <w:p>
      <w:pPr>
        <w:spacing w:line="360" w:lineRule="auto"/>
        <w:ind w:firstLine="480" w:firstLineChars="200"/>
        <w:rPr>
          <w:rFonts w:hint="eastAsia" w:cs="仿宋"/>
          <w:bCs/>
        </w:rPr>
      </w:pPr>
      <w:r>
        <w:rPr>
          <w:rFonts w:hint="eastAsia" w:cs="仿宋"/>
          <w:bCs/>
        </w:rPr>
        <w:t>2、按合同约定办理结算和支付工程款。</w:t>
      </w:r>
    </w:p>
    <w:p>
      <w:pPr>
        <w:spacing w:line="360" w:lineRule="auto"/>
        <w:ind w:firstLine="480" w:firstLineChars="200"/>
        <w:rPr>
          <w:rFonts w:hint="eastAsia" w:cs="仿宋"/>
          <w:bCs/>
        </w:rPr>
      </w:pPr>
      <w:r>
        <w:rPr>
          <w:rFonts w:hint="eastAsia" w:cs="仿宋"/>
          <w:bCs/>
        </w:rPr>
        <w:t>(二)乙方职责：</w:t>
      </w:r>
    </w:p>
    <w:p>
      <w:pPr>
        <w:spacing w:line="360" w:lineRule="auto"/>
        <w:ind w:firstLine="480" w:firstLineChars="200"/>
        <w:rPr>
          <w:rFonts w:hint="eastAsia" w:cs="仿宋"/>
          <w:bCs/>
        </w:rPr>
      </w:pPr>
      <w:r>
        <w:rPr>
          <w:rFonts w:hint="eastAsia" w:cs="仿宋"/>
          <w:bCs/>
        </w:rPr>
        <w:t>1</w:t>
      </w:r>
      <w:r>
        <w:rPr>
          <w:rFonts w:hint="eastAsia" w:cs="仿宋"/>
          <w:bCs/>
          <w:lang w:val="en-US" w:eastAsia="zh-CN"/>
        </w:rPr>
        <w:t>.</w:t>
      </w:r>
      <w:r>
        <w:rPr>
          <w:rFonts w:hint="eastAsia" w:cs="仿宋"/>
          <w:bCs/>
        </w:rPr>
        <w:t>乙方维修应当按照国家有关标准、行业标准，遵守双方约定，保证维修质量。</w:t>
      </w:r>
    </w:p>
    <w:p>
      <w:pPr>
        <w:spacing w:line="360" w:lineRule="auto"/>
        <w:ind w:firstLine="480" w:firstLineChars="200"/>
        <w:rPr>
          <w:rFonts w:hint="eastAsia" w:cs="仿宋"/>
          <w:bCs/>
        </w:rPr>
      </w:pPr>
      <w:r>
        <w:rPr>
          <w:rFonts w:hint="eastAsia" w:cs="仿宋"/>
          <w:bCs/>
        </w:rPr>
        <w:t>2</w:t>
      </w:r>
      <w:r>
        <w:rPr>
          <w:rFonts w:hint="eastAsia" w:cs="仿宋"/>
          <w:bCs/>
          <w:lang w:val="en-US" w:eastAsia="zh-CN"/>
        </w:rPr>
        <w:t>.</w:t>
      </w:r>
      <w:r>
        <w:rPr>
          <w:rFonts w:hint="eastAsia" w:cs="仿宋"/>
          <w:bCs/>
        </w:rPr>
        <w:t>在维修质保期内，承修设备因维修出现质量问题，乙方应当免费返修。返修后的质保期自返修竣工交付之日起重新结算。</w:t>
      </w:r>
    </w:p>
    <w:p>
      <w:pPr>
        <w:spacing w:line="360" w:lineRule="auto"/>
        <w:ind w:firstLine="480" w:firstLineChars="200"/>
        <w:rPr>
          <w:rFonts w:hint="eastAsia" w:cs="仿宋"/>
          <w:bCs/>
        </w:rPr>
      </w:pPr>
      <w:r>
        <w:rPr>
          <w:rFonts w:hint="eastAsia" w:cs="仿宋"/>
          <w:bCs/>
          <w:lang w:val="en-US" w:eastAsia="zh-CN"/>
        </w:rPr>
        <w:t>3.</w:t>
      </w:r>
      <w:r>
        <w:rPr>
          <w:rFonts w:hint="eastAsia" w:cs="仿宋"/>
          <w:bCs/>
        </w:rPr>
        <w:t>维修过程中，乙方交通费、餐费等费用自理。</w:t>
      </w:r>
    </w:p>
    <w:p>
      <w:pPr>
        <w:spacing w:line="360" w:lineRule="auto"/>
        <w:ind w:firstLine="480" w:firstLineChars="200"/>
        <w:rPr>
          <w:rFonts w:hint="eastAsia" w:cs="仿宋"/>
          <w:bCs/>
        </w:rPr>
      </w:pPr>
      <w:r>
        <w:rPr>
          <w:rFonts w:hint="eastAsia" w:cs="仿宋"/>
          <w:bCs/>
          <w:lang w:val="en-US" w:eastAsia="zh-CN"/>
        </w:rPr>
        <w:t>4.</w:t>
      </w:r>
      <w:r>
        <w:rPr>
          <w:rFonts w:hint="eastAsia" w:cs="仿宋"/>
          <w:bCs/>
        </w:rPr>
        <w:t>因乙方工作失误导致甲方</w:t>
      </w:r>
      <w:r>
        <w:rPr>
          <w:rFonts w:hint="eastAsia" w:cs="仿宋"/>
          <w:bCs/>
          <w:lang w:val="en-US" w:eastAsia="zh-CN"/>
        </w:rPr>
        <w:t>设备</w:t>
      </w:r>
      <w:r>
        <w:rPr>
          <w:rFonts w:hint="eastAsia" w:cs="仿宋"/>
          <w:bCs/>
        </w:rPr>
        <w:t>损坏，乙方应赔偿甲方相应配件，负责修复并承担相应赔偿。</w:t>
      </w:r>
    </w:p>
    <w:p>
      <w:pPr>
        <w:spacing w:line="360" w:lineRule="auto"/>
        <w:ind w:firstLine="480" w:firstLineChars="200"/>
        <w:rPr>
          <w:rFonts w:hint="eastAsia" w:cs="仿宋"/>
          <w:bCs/>
        </w:rPr>
      </w:pPr>
      <w:r>
        <w:rPr>
          <w:rFonts w:hint="eastAsia" w:cs="仿宋"/>
          <w:bCs/>
          <w:lang w:val="en-US" w:eastAsia="zh-CN"/>
        </w:rPr>
        <w:t>5.</w:t>
      </w:r>
      <w:r>
        <w:rPr>
          <w:rFonts w:hint="eastAsia" w:cs="仿宋"/>
          <w:bCs/>
        </w:rPr>
        <w:t>因维修设备出现质量问题给甲方造成人身伤害和财产损失的，乙方应当承担赔偿责任。</w:t>
      </w:r>
    </w:p>
    <w:p>
      <w:pPr>
        <w:spacing w:line="360" w:lineRule="auto"/>
        <w:ind w:firstLine="480" w:firstLineChars="200"/>
        <w:rPr>
          <w:rFonts w:hint="eastAsia" w:cs="仿宋"/>
          <w:bCs/>
        </w:rPr>
      </w:pPr>
      <w:r>
        <w:rPr>
          <w:rFonts w:hint="eastAsia" w:cs="仿宋"/>
          <w:bCs/>
          <w:lang w:val="en-US" w:eastAsia="zh-CN"/>
        </w:rPr>
        <w:t>6.</w:t>
      </w:r>
      <w:r>
        <w:rPr>
          <w:rFonts w:hint="eastAsia" w:cs="仿宋"/>
          <w:bCs/>
        </w:rPr>
        <w:t>因操作不当或非正常原因（如落石、水淹、自然灾害等）造成</w:t>
      </w:r>
      <w:r>
        <w:rPr>
          <w:rFonts w:hint="eastAsia" w:cs="仿宋"/>
          <w:bCs/>
          <w:lang w:val="en-US" w:eastAsia="zh-CN"/>
        </w:rPr>
        <w:t>设备损坏</w:t>
      </w:r>
      <w:r>
        <w:rPr>
          <w:rFonts w:hint="eastAsia" w:cs="仿宋"/>
          <w:bCs/>
        </w:rPr>
        <w:t>，由甲方负责。</w:t>
      </w:r>
    </w:p>
    <w:p>
      <w:pPr>
        <w:spacing w:line="360" w:lineRule="auto"/>
        <w:ind w:firstLine="480" w:firstLineChars="200"/>
        <w:rPr>
          <w:rFonts w:hint="eastAsia" w:cs="仿宋"/>
          <w:bCs/>
        </w:rPr>
      </w:pPr>
      <w:r>
        <w:rPr>
          <w:rFonts w:hint="eastAsia" w:cs="仿宋"/>
          <w:bCs/>
          <w:lang w:val="en-US" w:eastAsia="zh-CN"/>
        </w:rPr>
        <w:t>八</w:t>
      </w:r>
      <w:r>
        <w:rPr>
          <w:rFonts w:hint="eastAsia" w:cs="仿宋"/>
          <w:bCs/>
        </w:rPr>
        <w:t>、违约责任</w:t>
      </w:r>
    </w:p>
    <w:p>
      <w:pPr>
        <w:spacing w:line="360" w:lineRule="auto"/>
        <w:ind w:firstLine="480" w:firstLineChars="200"/>
        <w:rPr>
          <w:rFonts w:hint="eastAsia" w:cs="仿宋"/>
          <w:bCs/>
        </w:rPr>
      </w:pPr>
      <w:r>
        <w:rPr>
          <w:rFonts w:hint="eastAsia" w:cs="仿宋"/>
          <w:bCs/>
        </w:rPr>
        <w:t>正常使用条件下达不到承诺使用寿命的卖方无条件更换新件；由焊接或配套附件质量等因素给甲方造成的损失的，乙方按照实际损失金额赔偿甲方；乙方若迟交货，每延迟1天，应向及甲方支付迟交货部分货款千分之三的违约金，累计计算。</w:t>
      </w:r>
    </w:p>
    <w:p>
      <w:pPr>
        <w:spacing w:line="360" w:lineRule="auto"/>
        <w:ind w:firstLine="480" w:firstLineChars="200"/>
        <w:rPr>
          <w:rFonts w:hint="eastAsia" w:cs="仿宋"/>
          <w:bCs/>
        </w:rPr>
      </w:pPr>
      <w:r>
        <w:rPr>
          <w:rFonts w:hint="eastAsia" w:cs="仿宋"/>
          <w:bCs/>
          <w:lang w:val="en-US" w:eastAsia="zh-CN"/>
        </w:rPr>
        <w:t>九、</w:t>
      </w:r>
      <w:r>
        <w:rPr>
          <w:rFonts w:hint="eastAsia" w:cs="仿宋"/>
          <w:bCs/>
        </w:rPr>
        <w:t>不可抗力</w:t>
      </w:r>
    </w:p>
    <w:p>
      <w:pPr>
        <w:spacing w:line="360" w:lineRule="auto"/>
        <w:ind w:firstLine="480" w:firstLineChars="200"/>
        <w:rPr>
          <w:rFonts w:hint="eastAsia" w:cs="仿宋"/>
          <w:bCs/>
        </w:rPr>
      </w:pPr>
      <w:r>
        <w:rPr>
          <w:rFonts w:hint="eastAsia" w:cs="仿宋"/>
          <w:bCs/>
        </w:rPr>
        <w:t>1</w:t>
      </w:r>
      <w:r>
        <w:rPr>
          <w:rFonts w:hint="eastAsia" w:cs="仿宋"/>
          <w:bCs/>
          <w:lang w:eastAsia="zh-CN"/>
        </w:rPr>
        <w:t>、</w:t>
      </w:r>
      <w:r>
        <w:rPr>
          <w:rFonts w:hint="eastAsia" w:cs="仿宋"/>
          <w:bCs/>
        </w:rPr>
        <w:t>因法定不可抗力事件致使无法履行合同的，受阻一方应尽快用传真或电传等书面形式通知对方，并于事件发生后14日内将有关部门出具的证明文件送达给对方确认；同时，受阻方有责任尽一切合理努力消除或减轻不可抗力事件影响，并应尽可能继续履行合同义务，以及寻求采取合理的方案履行不受不可抗力影响的其他事项，否则，造成的损失由受阻方承担；</w:t>
      </w:r>
    </w:p>
    <w:p>
      <w:pPr>
        <w:spacing w:line="360" w:lineRule="auto"/>
        <w:ind w:firstLine="480" w:firstLineChars="200"/>
        <w:rPr>
          <w:rFonts w:hint="eastAsia" w:cs="仿宋"/>
          <w:bCs/>
        </w:rPr>
      </w:pPr>
      <w:r>
        <w:rPr>
          <w:rFonts w:hint="eastAsia" w:cs="仿宋"/>
          <w:bCs/>
        </w:rPr>
        <w:t>不可抗力事件或其影响终止或消除后，双方须立即恢复履行各自在本合同项下的各项义务；</w:t>
      </w:r>
    </w:p>
    <w:p>
      <w:pPr>
        <w:spacing w:line="360" w:lineRule="auto"/>
        <w:ind w:firstLine="480" w:firstLineChars="200"/>
        <w:rPr>
          <w:rFonts w:hint="eastAsia" w:cs="仿宋"/>
          <w:bCs/>
        </w:rPr>
      </w:pPr>
      <w:r>
        <w:rPr>
          <w:rFonts w:hint="eastAsia" w:cs="仿宋"/>
          <w:bCs/>
        </w:rPr>
        <w:t>不可抗力事件或其影响终止或消除后，合同已无继续履行的必要，双方可协商解除合同。</w:t>
      </w:r>
    </w:p>
    <w:p>
      <w:pPr>
        <w:spacing w:line="360" w:lineRule="auto"/>
        <w:ind w:firstLine="480" w:firstLineChars="200"/>
        <w:rPr>
          <w:rFonts w:hint="eastAsia" w:cs="仿宋"/>
          <w:bCs/>
        </w:rPr>
      </w:pPr>
      <w:r>
        <w:rPr>
          <w:rFonts w:hint="eastAsia" w:cs="仿宋"/>
          <w:bCs/>
        </w:rPr>
        <w:t>2</w:t>
      </w:r>
      <w:r>
        <w:rPr>
          <w:rFonts w:hint="eastAsia" w:cs="仿宋"/>
          <w:bCs/>
          <w:lang w:eastAsia="zh-CN"/>
        </w:rPr>
        <w:t>、</w:t>
      </w:r>
      <w:r>
        <w:rPr>
          <w:rFonts w:hint="eastAsia" w:cs="仿宋"/>
          <w:bCs/>
        </w:rPr>
        <w:t>因不可抗力事件致使乙方不能按约定时间交货或不能交货的，甲方同意将交货时间适当顺延，但顺延的期限总计不得超过30天。乙方在顺延的期限内仍然不能交货的，甲方有权单方解除合同，乙方应返还甲方前期支付的所有款项。</w:t>
      </w:r>
    </w:p>
    <w:p>
      <w:pPr>
        <w:spacing w:line="360" w:lineRule="auto"/>
        <w:ind w:firstLine="480" w:firstLineChars="200"/>
        <w:rPr>
          <w:rFonts w:hint="eastAsia" w:cs="仿宋"/>
          <w:bCs/>
        </w:rPr>
      </w:pPr>
      <w:r>
        <w:rPr>
          <w:rFonts w:hint="eastAsia" w:cs="仿宋"/>
          <w:bCs/>
        </w:rPr>
        <w:t>十、合同生效、争端解决及其它</w:t>
      </w:r>
    </w:p>
    <w:p>
      <w:pPr>
        <w:spacing w:line="360" w:lineRule="auto"/>
        <w:ind w:firstLine="480" w:firstLineChars="200"/>
        <w:rPr>
          <w:rFonts w:hint="eastAsia" w:cs="仿宋"/>
          <w:bCs/>
        </w:rPr>
      </w:pPr>
      <w:r>
        <w:rPr>
          <w:rFonts w:hint="eastAsia" w:cs="仿宋"/>
          <w:bCs/>
        </w:rPr>
        <w:t>（一）合同生效</w:t>
      </w:r>
    </w:p>
    <w:p>
      <w:pPr>
        <w:spacing w:line="360" w:lineRule="auto"/>
        <w:ind w:firstLine="480" w:firstLineChars="200"/>
        <w:rPr>
          <w:rFonts w:hint="eastAsia" w:cs="仿宋"/>
          <w:bCs/>
        </w:rPr>
      </w:pPr>
      <w:r>
        <w:rPr>
          <w:rFonts w:hint="eastAsia" w:cs="仿宋"/>
          <w:bCs/>
        </w:rPr>
        <w:t>本合同双方盖章签字后生效，质保期满一年</w:t>
      </w:r>
      <w:r>
        <w:rPr>
          <w:rFonts w:hint="eastAsia" w:cs="仿宋"/>
          <w:bCs/>
          <w:lang w:val="en-US" w:eastAsia="zh-CN"/>
        </w:rPr>
        <w:t>后终止。</w:t>
      </w:r>
    </w:p>
    <w:p>
      <w:pPr>
        <w:spacing w:line="360" w:lineRule="auto"/>
        <w:ind w:firstLine="480" w:firstLineChars="200"/>
        <w:rPr>
          <w:rFonts w:hint="eastAsia" w:cs="仿宋"/>
          <w:bCs/>
        </w:rPr>
      </w:pPr>
      <w:r>
        <w:rPr>
          <w:rFonts w:hint="eastAsia" w:cs="仿宋"/>
          <w:bCs/>
        </w:rPr>
        <w:t>（二）争端解决方式及流程</w:t>
      </w:r>
    </w:p>
    <w:p>
      <w:pPr>
        <w:spacing w:line="360" w:lineRule="auto"/>
        <w:ind w:firstLine="480" w:firstLineChars="200"/>
        <w:rPr>
          <w:rFonts w:hint="eastAsia" w:cs="仿宋"/>
          <w:bCs/>
        </w:rPr>
      </w:pPr>
      <w:r>
        <w:rPr>
          <w:rFonts w:hint="eastAsia" w:cs="仿宋"/>
          <w:bCs/>
        </w:rPr>
        <w:t>1、友好协商</w:t>
      </w:r>
    </w:p>
    <w:p>
      <w:pPr>
        <w:spacing w:line="360" w:lineRule="auto"/>
        <w:ind w:firstLine="480" w:firstLineChars="200"/>
        <w:rPr>
          <w:rFonts w:hint="eastAsia" w:cs="仿宋"/>
          <w:bCs/>
        </w:rPr>
      </w:pPr>
      <w:r>
        <w:rPr>
          <w:rFonts w:hint="eastAsia" w:cs="仿宋"/>
          <w:bCs/>
        </w:rPr>
        <w:t>本合同生效后，双方应严格遵守。如执行过程中发生争端，双方首先应友好协商解决。</w:t>
      </w:r>
    </w:p>
    <w:p>
      <w:pPr>
        <w:spacing w:line="360" w:lineRule="auto"/>
        <w:ind w:firstLine="480" w:firstLineChars="200"/>
        <w:rPr>
          <w:rFonts w:hint="eastAsia" w:cs="仿宋"/>
          <w:bCs/>
        </w:rPr>
      </w:pPr>
      <w:r>
        <w:rPr>
          <w:rFonts w:hint="eastAsia" w:cs="仿宋"/>
          <w:bCs/>
        </w:rPr>
        <w:t>2、诉讼</w:t>
      </w:r>
      <w:r>
        <w:rPr>
          <w:rFonts w:hint="eastAsia" w:cs="仿宋"/>
          <w:bCs/>
          <w:lang w:eastAsia="zh-CN"/>
        </w:rPr>
        <w:t>：</w:t>
      </w:r>
      <w:r>
        <w:rPr>
          <w:rFonts w:hint="eastAsia" w:cs="仿宋"/>
          <w:bCs/>
        </w:rPr>
        <w:t>若双方协商不成时，向章丘区人民法院起诉。</w:t>
      </w:r>
    </w:p>
    <w:p>
      <w:pPr>
        <w:spacing w:line="360" w:lineRule="auto"/>
        <w:ind w:firstLine="480" w:firstLineChars="200"/>
        <w:rPr>
          <w:rFonts w:hint="eastAsia" w:cs="仿宋"/>
          <w:bCs/>
        </w:rPr>
      </w:pPr>
      <w:r>
        <w:rPr>
          <w:rFonts w:hint="eastAsia" w:cs="仿宋"/>
          <w:bCs/>
        </w:rPr>
        <w:t>（三）争端期的合同履行</w:t>
      </w:r>
    </w:p>
    <w:p>
      <w:pPr>
        <w:spacing w:line="360" w:lineRule="auto"/>
        <w:ind w:firstLine="480" w:firstLineChars="200"/>
        <w:rPr>
          <w:rFonts w:hint="eastAsia" w:cs="仿宋"/>
          <w:bCs/>
        </w:rPr>
      </w:pPr>
      <w:r>
        <w:rPr>
          <w:rFonts w:hint="eastAsia" w:cs="仿宋"/>
          <w:bCs/>
        </w:rPr>
        <w:t>1、发生争端后，除非出现下列情况的，双方均应继续履行合同：</w:t>
      </w:r>
    </w:p>
    <w:p>
      <w:pPr>
        <w:spacing w:line="360" w:lineRule="auto"/>
        <w:ind w:firstLine="480" w:firstLineChars="200"/>
        <w:rPr>
          <w:rFonts w:hint="eastAsia" w:cs="仿宋"/>
          <w:bCs/>
        </w:rPr>
      </w:pPr>
      <w:r>
        <w:rPr>
          <w:rFonts w:hint="eastAsia" w:cs="仿宋"/>
          <w:bCs/>
        </w:rPr>
        <w:t>1.1单方违约导致合同已无法履行，双方协议停止履行；</w:t>
      </w:r>
    </w:p>
    <w:p>
      <w:pPr>
        <w:spacing w:line="360" w:lineRule="auto"/>
        <w:ind w:firstLine="480" w:firstLineChars="200"/>
        <w:rPr>
          <w:rFonts w:hint="eastAsia" w:cs="仿宋"/>
          <w:bCs/>
        </w:rPr>
      </w:pPr>
      <w:r>
        <w:rPr>
          <w:rFonts w:hint="eastAsia" w:cs="仿宋"/>
          <w:bCs/>
        </w:rPr>
        <w:t>1.2经协调机构调解要求停止履行合同，且为双方接受；</w:t>
      </w:r>
    </w:p>
    <w:p>
      <w:pPr>
        <w:spacing w:line="360" w:lineRule="auto"/>
        <w:ind w:firstLine="480" w:firstLineChars="200"/>
        <w:rPr>
          <w:rFonts w:hint="eastAsia" w:cs="仿宋"/>
          <w:bCs/>
        </w:rPr>
      </w:pPr>
      <w:r>
        <w:rPr>
          <w:rFonts w:hint="eastAsia" w:cs="仿宋"/>
          <w:bCs/>
        </w:rPr>
        <w:t>1.3法院要求停止履行合同。</w:t>
      </w:r>
    </w:p>
    <w:p>
      <w:pPr>
        <w:spacing w:line="360" w:lineRule="auto"/>
        <w:ind w:firstLine="480" w:firstLineChars="200"/>
        <w:rPr>
          <w:rFonts w:hint="eastAsia" w:cs="仿宋"/>
          <w:bCs/>
        </w:rPr>
      </w:pPr>
      <w:r>
        <w:rPr>
          <w:rFonts w:hint="eastAsia" w:cs="仿宋"/>
          <w:bCs/>
        </w:rPr>
        <w:t>（四）合同份数</w:t>
      </w:r>
    </w:p>
    <w:p>
      <w:pPr>
        <w:spacing w:line="360" w:lineRule="auto"/>
        <w:ind w:firstLine="480" w:firstLineChars="200"/>
        <w:rPr>
          <w:rFonts w:hint="eastAsia" w:cs="仿宋"/>
          <w:bCs/>
        </w:rPr>
      </w:pPr>
      <w:r>
        <w:rPr>
          <w:rFonts w:hint="eastAsia" w:cs="仿宋"/>
          <w:bCs/>
        </w:rPr>
        <w:t>本合同一式六份，甲方四份，乙方两份，具有同等法律效力。</w:t>
      </w:r>
    </w:p>
    <w:p>
      <w:pPr>
        <w:numPr>
          <w:ilvl w:val="0"/>
          <w:numId w:val="3"/>
        </w:numPr>
        <w:spacing w:line="360" w:lineRule="auto"/>
        <w:ind w:firstLine="480" w:firstLineChars="200"/>
        <w:rPr>
          <w:rFonts w:hint="eastAsia" w:cs="仿宋"/>
          <w:bCs/>
        </w:rPr>
      </w:pPr>
      <w:r>
        <w:rPr>
          <w:rFonts w:hint="eastAsia" w:cs="仿宋"/>
          <w:bCs/>
        </w:rPr>
        <w:t>本合同未尽事宜，甲乙双方另行协商解决。</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459" w:type="dxa"/>
            <w:vAlign w:val="center"/>
          </w:tcPr>
          <w:p>
            <w:pPr>
              <w:widowControl w:val="0"/>
              <w:numPr>
                <w:ilvl w:val="0"/>
                <w:numId w:val="0"/>
              </w:numPr>
              <w:spacing w:line="360" w:lineRule="auto"/>
              <w:jc w:val="both"/>
              <w:rPr>
                <w:rFonts w:hint="eastAsia" w:eastAsia="宋体" w:cs="仿宋"/>
                <w:bCs/>
                <w:vertAlign w:val="baseline"/>
                <w:lang w:val="en-US" w:eastAsia="zh-CN"/>
              </w:rPr>
            </w:pPr>
            <w:r>
              <w:rPr>
                <w:rFonts w:hint="eastAsia" w:cs="仿宋"/>
                <w:bCs/>
                <w:vertAlign w:val="baseline"/>
                <w:lang w:val="en-US" w:eastAsia="zh-CN"/>
              </w:rPr>
              <w:t>甲方：</w:t>
            </w:r>
          </w:p>
        </w:tc>
        <w:tc>
          <w:tcPr>
            <w:tcW w:w="4460" w:type="dxa"/>
            <w:vAlign w:val="center"/>
          </w:tcPr>
          <w:p>
            <w:pPr>
              <w:widowControl w:val="0"/>
              <w:numPr>
                <w:ilvl w:val="0"/>
                <w:numId w:val="0"/>
              </w:numPr>
              <w:spacing w:line="360" w:lineRule="auto"/>
              <w:jc w:val="both"/>
              <w:rPr>
                <w:rFonts w:hint="eastAsia" w:eastAsia="宋体" w:cs="仿宋"/>
                <w:bCs/>
                <w:vertAlign w:val="baseline"/>
                <w:lang w:val="en-US" w:eastAsia="zh-CN"/>
              </w:rPr>
            </w:pPr>
            <w:r>
              <w:rPr>
                <w:rFonts w:hint="eastAsia" w:cs="仿宋"/>
                <w:bCs/>
                <w:vertAlign w:val="baseli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459" w:type="dxa"/>
            <w:vAlign w:val="center"/>
          </w:tcPr>
          <w:p>
            <w:pPr>
              <w:widowControl w:val="0"/>
              <w:numPr>
                <w:ilvl w:val="0"/>
                <w:numId w:val="0"/>
              </w:numPr>
              <w:spacing w:line="360" w:lineRule="auto"/>
              <w:jc w:val="both"/>
              <w:rPr>
                <w:rFonts w:hint="default" w:cs="仿宋"/>
                <w:bCs/>
                <w:vertAlign w:val="baseline"/>
                <w:lang w:val="en-US" w:eastAsia="zh-CN"/>
              </w:rPr>
            </w:pPr>
            <w:r>
              <w:rPr>
                <w:rFonts w:hint="eastAsia" w:cs="仿宋"/>
                <w:bCs/>
                <w:vertAlign w:val="baseline"/>
                <w:lang w:val="en-US" w:eastAsia="zh-CN"/>
              </w:rPr>
              <w:t>法人或委托人：</w:t>
            </w:r>
          </w:p>
        </w:tc>
        <w:tc>
          <w:tcPr>
            <w:tcW w:w="4460" w:type="dxa"/>
            <w:vAlign w:val="center"/>
          </w:tcPr>
          <w:p>
            <w:pPr>
              <w:widowControl w:val="0"/>
              <w:numPr>
                <w:ilvl w:val="0"/>
                <w:numId w:val="0"/>
              </w:numPr>
              <w:spacing w:line="360" w:lineRule="auto"/>
              <w:jc w:val="both"/>
              <w:rPr>
                <w:rFonts w:hint="default" w:cs="仿宋"/>
                <w:bCs/>
                <w:vertAlign w:val="baseline"/>
                <w:lang w:val="en-US" w:eastAsia="zh-CN"/>
              </w:rPr>
            </w:pPr>
            <w:r>
              <w:rPr>
                <w:rFonts w:hint="eastAsia" w:cs="仿宋"/>
                <w:bCs/>
                <w:vertAlign w:val="baseline"/>
                <w:lang w:val="en-US" w:eastAsia="zh-CN"/>
              </w:rPr>
              <w:t>法人或委托人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59" w:type="dxa"/>
            <w:vAlign w:val="center"/>
          </w:tcPr>
          <w:p>
            <w:pPr>
              <w:widowControl w:val="0"/>
              <w:numPr>
                <w:ilvl w:val="0"/>
                <w:numId w:val="0"/>
              </w:numPr>
              <w:spacing w:line="360" w:lineRule="auto"/>
              <w:jc w:val="both"/>
              <w:rPr>
                <w:rFonts w:hint="default" w:cs="仿宋"/>
                <w:bCs/>
                <w:vertAlign w:val="baseline"/>
                <w:lang w:val="en-US" w:eastAsia="zh-CN"/>
              </w:rPr>
            </w:pPr>
            <w:r>
              <w:rPr>
                <w:rFonts w:hint="eastAsia" w:cs="仿宋"/>
                <w:bCs/>
                <w:vertAlign w:val="baseline"/>
                <w:lang w:val="en-US" w:eastAsia="zh-CN"/>
              </w:rPr>
              <w:t>地址：</w:t>
            </w:r>
          </w:p>
        </w:tc>
        <w:tc>
          <w:tcPr>
            <w:tcW w:w="4460" w:type="dxa"/>
            <w:vAlign w:val="center"/>
          </w:tcPr>
          <w:p>
            <w:pPr>
              <w:widowControl w:val="0"/>
              <w:numPr>
                <w:ilvl w:val="0"/>
                <w:numId w:val="0"/>
              </w:numPr>
              <w:spacing w:line="360" w:lineRule="auto"/>
              <w:jc w:val="both"/>
              <w:rPr>
                <w:rFonts w:hint="default" w:cs="仿宋"/>
                <w:bCs/>
                <w:vertAlign w:val="baseline"/>
                <w:lang w:val="en-US" w:eastAsia="zh-CN"/>
              </w:rPr>
            </w:pPr>
            <w:r>
              <w:rPr>
                <w:rFonts w:hint="eastAsia" w:cs="仿宋"/>
                <w:bCs/>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9" w:type="dxa"/>
            <w:vAlign w:val="center"/>
          </w:tcPr>
          <w:p>
            <w:pPr>
              <w:widowControl w:val="0"/>
              <w:numPr>
                <w:ilvl w:val="0"/>
                <w:numId w:val="0"/>
              </w:numPr>
              <w:spacing w:line="360" w:lineRule="auto"/>
              <w:jc w:val="both"/>
              <w:rPr>
                <w:rFonts w:hint="default" w:cs="仿宋"/>
                <w:bCs/>
                <w:vertAlign w:val="baseline"/>
                <w:lang w:val="en-US" w:eastAsia="zh-CN"/>
              </w:rPr>
            </w:pPr>
            <w:r>
              <w:rPr>
                <w:rFonts w:hint="eastAsia" w:cs="仿宋"/>
                <w:bCs/>
                <w:vertAlign w:val="baseline"/>
                <w:lang w:val="en-US" w:eastAsia="zh-CN"/>
              </w:rPr>
              <w:t>电话：</w:t>
            </w:r>
          </w:p>
        </w:tc>
        <w:tc>
          <w:tcPr>
            <w:tcW w:w="4460" w:type="dxa"/>
            <w:vAlign w:val="center"/>
          </w:tcPr>
          <w:p>
            <w:pPr>
              <w:widowControl w:val="0"/>
              <w:numPr>
                <w:ilvl w:val="0"/>
                <w:numId w:val="0"/>
              </w:numPr>
              <w:spacing w:line="360" w:lineRule="auto"/>
              <w:jc w:val="both"/>
              <w:rPr>
                <w:rFonts w:hint="default" w:cs="仿宋"/>
                <w:bCs/>
                <w:vertAlign w:val="baseline"/>
                <w:lang w:val="en-US" w:eastAsia="zh-CN"/>
              </w:rPr>
            </w:pPr>
            <w:r>
              <w:rPr>
                <w:rFonts w:hint="eastAsia" w:cs="仿宋"/>
                <w:bCs/>
                <w:vertAlign w:val="baseline"/>
                <w:lang w:val="en-US" w:eastAsia="zh-CN"/>
              </w:rPr>
              <w:t>电话：</w:t>
            </w:r>
          </w:p>
        </w:tc>
      </w:tr>
    </w:tbl>
    <w:p>
      <w:pPr>
        <w:spacing w:line="300" w:lineRule="auto"/>
        <w:jc w:val="both"/>
        <w:rPr>
          <w:rFonts w:hint="eastAsia"/>
          <w:bCs/>
          <w:iCs/>
        </w:rPr>
      </w:pPr>
    </w:p>
    <w:p>
      <w:pPr>
        <w:spacing w:line="300" w:lineRule="auto"/>
        <w:jc w:val="center"/>
        <w:rPr>
          <w:rFonts w:hint="eastAsia"/>
          <w:bCs/>
        </w:rPr>
      </w:pPr>
      <w:r>
        <w:rPr>
          <w:rFonts w:hint="eastAsia"/>
          <w:bCs/>
          <w:iCs/>
        </w:rPr>
        <w:t>日</w:t>
      </w:r>
      <w:r>
        <w:rPr>
          <w:bCs/>
          <w:iCs/>
        </w:rPr>
        <w:t xml:space="preserve">  </w:t>
      </w:r>
      <w:r>
        <w:rPr>
          <w:rFonts w:hint="eastAsia"/>
          <w:bCs/>
          <w:iCs/>
        </w:rPr>
        <w:t xml:space="preserve">期：    </w:t>
      </w:r>
      <w:r>
        <w:rPr>
          <w:rFonts w:hint="eastAsia" w:eastAsia="楷体_GB2312"/>
          <w:b/>
          <w:bCs/>
          <w:u w:val="single"/>
        </w:rPr>
        <w:t xml:space="preserve">     </w:t>
      </w:r>
      <w:r>
        <w:rPr>
          <w:rFonts w:eastAsia="楷体_GB2312"/>
          <w:b/>
          <w:bCs/>
          <w:u w:val="single"/>
        </w:rPr>
        <w:t xml:space="preserve"> </w:t>
      </w:r>
      <w:r>
        <w:rPr>
          <w:rFonts w:hint="eastAsia"/>
          <w:bCs/>
        </w:rPr>
        <w:t>年</w:t>
      </w:r>
      <w:r>
        <w:rPr>
          <w:rFonts w:eastAsia="楷体_GB2312"/>
          <w:b/>
          <w:bCs/>
          <w:u w:val="single"/>
        </w:rPr>
        <w:t xml:space="preserve"> </w:t>
      </w:r>
      <w:r>
        <w:rPr>
          <w:rFonts w:hint="eastAsia" w:eastAsia="楷体_GB2312"/>
          <w:b/>
          <w:bCs/>
          <w:u w:val="single"/>
        </w:rPr>
        <w:t xml:space="preserve">    </w:t>
      </w:r>
      <w:r>
        <w:rPr>
          <w:rFonts w:eastAsia="楷体_GB2312"/>
          <w:b/>
          <w:bCs/>
          <w:u w:val="single"/>
        </w:rPr>
        <w:t xml:space="preserve"> </w:t>
      </w:r>
      <w:r>
        <w:rPr>
          <w:rFonts w:hint="eastAsia"/>
          <w:bCs/>
        </w:rPr>
        <w:t>月</w:t>
      </w:r>
      <w:r>
        <w:rPr>
          <w:rFonts w:eastAsia="楷体_GB2312"/>
          <w:b/>
          <w:bCs/>
          <w:u w:val="single"/>
        </w:rPr>
        <w:t xml:space="preserve"> </w:t>
      </w:r>
      <w:r>
        <w:rPr>
          <w:rFonts w:hint="eastAsia" w:eastAsia="楷体_GB2312"/>
          <w:b/>
          <w:bCs/>
          <w:u w:val="single"/>
        </w:rPr>
        <w:t xml:space="preserve">     </w:t>
      </w:r>
      <w:r>
        <w:rPr>
          <w:rFonts w:eastAsia="楷体_GB2312"/>
          <w:b/>
          <w:bCs/>
          <w:u w:val="single"/>
        </w:rPr>
        <w:t xml:space="preserve"> </w:t>
      </w:r>
      <w:r>
        <w:rPr>
          <w:rFonts w:hint="eastAsia"/>
          <w:bCs/>
        </w:rPr>
        <w:t>日</w:t>
      </w:r>
    </w:p>
    <w:p>
      <w:pPr>
        <w:rPr>
          <w:rFonts w:hint="eastAsia"/>
          <w:bCs/>
        </w:rPr>
      </w:pPr>
      <w:r>
        <w:rPr>
          <w:rFonts w:hint="eastAsia"/>
          <w:bCs/>
        </w:rPr>
        <w:br w:type="page"/>
      </w:r>
    </w:p>
    <w:bookmarkEnd w:id="125"/>
    <w:p>
      <w:pPr>
        <w:spacing w:line="300" w:lineRule="auto"/>
        <w:rPr>
          <w:rFonts w:eastAsia="黑体"/>
        </w:rPr>
      </w:pPr>
    </w:p>
    <w:p>
      <w:pPr>
        <w:pStyle w:val="26"/>
        <w:keepNext w:val="0"/>
        <w:keepLines w:val="0"/>
        <w:pageBreakBefore w:val="0"/>
        <w:kinsoku/>
        <w:overflowPunct/>
        <w:topLinePunct w:val="0"/>
        <w:autoSpaceDE/>
        <w:autoSpaceDN/>
        <w:bidi w:val="0"/>
        <w:adjustRightInd/>
        <w:spacing w:beforeAutospacing="0" w:line="240" w:lineRule="auto"/>
        <w:jc w:val="left"/>
        <w:textAlignment w:val="auto"/>
        <w:rPr>
          <w:rFonts w:hint="eastAsia" w:cs="Times New Roman"/>
          <w:b/>
          <w:bCs/>
        </w:rPr>
      </w:pPr>
      <w:r>
        <w:rPr>
          <w:rFonts w:hint="eastAsia" w:cs="仿宋"/>
          <w:b/>
          <w:sz w:val="36"/>
          <w:szCs w:val="36"/>
        </w:rPr>
        <w:t>附件</w:t>
      </w:r>
      <w:r>
        <w:rPr>
          <w:rFonts w:hint="eastAsia" w:cs="仿宋"/>
          <w:b/>
          <w:sz w:val="36"/>
          <w:szCs w:val="36"/>
          <w:lang w:val="en-US" w:eastAsia="zh-CN"/>
        </w:rPr>
        <w:t>一</w:t>
      </w:r>
      <w:r>
        <w:rPr>
          <w:rFonts w:hint="eastAsia" w:cs="仿宋"/>
          <w:b/>
          <w:sz w:val="36"/>
          <w:szCs w:val="36"/>
        </w:rPr>
        <w:t>：</w:t>
      </w:r>
      <w:r>
        <w:rPr>
          <w:rFonts w:hint="eastAsia" w:cs="仿宋"/>
          <w:b/>
          <w:sz w:val="36"/>
          <w:szCs w:val="36"/>
          <w:lang w:val="en-US" w:eastAsia="zh-CN"/>
        </w:rPr>
        <w:t xml:space="preserve">         </w:t>
      </w:r>
      <w:r>
        <w:rPr>
          <w:rFonts w:hint="eastAsia" w:cs="仿宋"/>
          <w:b/>
          <w:sz w:val="36"/>
          <w:szCs w:val="36"/>
        </w:rPr>
        <w:t>安全管理协议</w:t>
      </w:r>
    </w:p>
    <w:p>
      <w:pPr>
        <w:keepNext w:val="0"/>
        <w:keepLines w:val="0"/>
        <w:pageBreakBefore w:val="0"/>
        <w:kinsoku/>
        <w:overflowPunct/>
        <w:topLinePunct w:val="0"/>
        <w:autoSpaceDE/>
        <w:autoSpaceDN/>
        <w:bidi w:val="0"/>
        <w:adjustRightInd/>
        <w:spacing w:beforeAutospacing="0" w:line="240" w:lineRule="auto"/>
        <w:ind w:firstLine="495"/>
        <w:textAlignment w:val="auto"/>
        <w:rPr>
          <w:rFonts w:hint="eastAsia" w:eastAsia="宋体" w:cs="Times New Roman"/>
          <w:b/>
          <w:bCs/>
          <w:lang w:eastAsia="zh-CN"/>
        </w:rPr>
      </w:pPr>
      <w:r>
        <w:rPr>
          <w:rFonts w:hint="eastAsia" w:cs="Times New Roman"/>
          <w:b/>
          <w:bCs/>
        </w:rPr>
        <w:t>甲方：</w:t>
      </w:r>
      <w:r>
        <w:rPr>
          <w:rFonts w:hint="eastAsia" w:cs="Times New Roman"/>
          <w:b/>
          <w:bCs/>
          <w:lang w:eastAsia="zh-CN"/>
        </w:rPr>
        <w:t>济南黄河爆破工程有限责任公司</w:t>
      </w:r>
    </w:p>
    <w:p>
      <w:pPr>
        <w:keepNext w:val="0"/>
        <w:keepLines w:val="0"/>
        <w:pageBreakBefore w:val="0"/>
        <w:kinsoku/>
        <w:overflowPunct/>
        <w:topLinePunct w:val="0"/>
        <w:autoSpaceDE/>
        <w:autoSpaceDN/>
        <w:bidi w:val="0"/>
        <w:adjustRightInd/>
        <w:spacing w:beforeAutospacing="0" w:line="240" w:lineRule="auto"/>
        <w:ind w:firstLine="495"/>
        <w:textAlignment w:val="auto"/>
        <w:rPr>
          <w:rFonts w:hint="eastAsia" w:eastAsia="宋体" w:cs="Times New Roman"/>
          <w:b/>
          <w:bCs/>
          <w:lang w:val="en-US" w:eastAsia="zh-CN"/>
        </w:rPr>
      </w:pPr>
      <w:r>
        <w:rPr>
          <w:rFonts w:hint="eastAsia" w:cs="Times New Roman"/>
          <w:b/>
          <w:bCs/>
        </w:rPr>
        <w:t>乙方：</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为了贯彻“安全第一、预防为主、综合治理”的安全生产方针，规范乙方在承接甲方设备外协维修项目（以下简称本项目）时的安全行为，促使乙方加强本单位安全管理，建立、健全安全生产责任制度，采取切实有效的安全防范措施，杜绝生产安全事故,确保本项目在安全的前提下，保质、保量的顺利按期完成。根据《中华人民共和国安全生产法》、《中华人民共和国民法典》、《山东省安全生产条例》、《山东省生产经营单位安全生产主体责任规定》等有关法律法规，双方在平等自愿的基础上，经过充分协商，形成如下协议并共同遵守：</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 xml:space="preserve">一、适用对象和范围 </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乙方需具备国家法律法规规定的符合安全生产条件并具有独立承担民事责任资格，乙方可根据合同约定在甲方生产经营区域内从事</w:t>
      </w:r>
      <w:r>
        <w:rPr>
          <w:rFonts w:hint="eastAsia" w:cs="仿宋"/>
          <w:szCs w:val="20"/>
          <w:u w:val="single"/>
          <w:lang w:val="en-US" w:eastAsia="zh-CN"/>
        </w:rPr>
        <w:t>滚筒筛隐患整改维修改造</w:t>
      </w:r>
      <w:r>
        <w:rPr>
          <w:rFonts w:hint="eastAsia" w:cs="仿宋"/>
          <w:szCs w:val="20"/>
        </w:rPr>
        <w:t>项目。</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合同期内甲、乙双方应当依据本协议约定，履行各自的安全职责。</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 xml:space="preserve">二、双方应当遵循的基本原则 </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（一）双方应保证其安全生产监督管理人员坚持原则、忠于职守，严格按本协议的约定履行各自的安全职责。</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（二）双方应相互配合，甲方对乙方的安全管理工作有监督检查的权利，乙方必须配合，不得拒绝、阻扰甲方安全监督检查工作。</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三）乙方应牢固树立“安全第一”的指导思想，建立健全各项安全管理规章制度，制订并落实各项安全防护措施。乙方应严格遵守《中华人民共和国安全生产法》、《山东省安全生产条例》等法律法规规章的规定，认真落实生产经营单位安全生产的组织保障责任、规章制度保障责任、物质资金保障责任、管理保障责任、事故报告和应急救援责任等责任，如发生安全事故，由乙方承担全部责任。</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（四）本项目的安全管理工作由乙方依照国家有关法律、法规、规章和行业规定组织和实施，对</w:t>
      </w:r>
      <w:r>
        <w:rPr>
          <w:rFonts w:hint="eastAsia" w:cs="仿宋"/>
          <w:szCs w:val="20"/>
          <w:u w:val="single"/>
          <w:lang w:val="en-US" w:eastAsia="zh-CN"/>
        </w:rPr>
        <w:t>滚筒筛隐患整改维修改造</w:t>
      </w:r>
      <w:r>
        <w:rPr>
          <w:rFonts w:hint="eastAsia" w:cs="仿宋"/>
          <w:szCs w:val="20"/>
        </w:rPr>
        <w:t>项目承担全部安全管理责任。</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自乙方进场至退场期间，乙方所属人员（包括但不限于乙方员工、雇员及配属劳务人员及乙方所使用的参与作业的其他人员）、财产、维保项目的安全、环境保护等所有责任均由乙方负责。</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（五）双方必须严守技术秘密和业务秘密。</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 xml:space="preserve">三、甲方安全职责 </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（一）甲方应对乙方</w:t>
      </w:r>
      <w:r>
        <w:rPr>
          <w:rFonts w:hint="eastAsia" w:cs="仿宋"/>
          <w:szCs w:val="20"/>
          <w:lang w:val="en-US" w:eastAsia="zh-CN"/>
        </w:rPr>
        <w:t>安全管理</w:t>
      </w:r>
      <w:r>
        <w:rPr>
          <w:rFonts w:hint="eastAsia" w:cs="仿宋"/>
          <w:szCs w:val="20"/>
        </w:rPr>
        <w:t>人员进行安全告知，并保存</w:t>
      </w:r>
      <w:r>
        <w:rPr>
          <w:rFonts w:hint="eastAsia" w:cs="仿宋"/>
          <w:szCs w:val="20"/>
          <w:lang w:val="en-US" w:eastAsia="zh-CN"/>
        </w:rPr>
        <w:t>安全告知</w:t>
      </w:r>
      <w:r>
        <w:rPr>
          <w:rFonts w:hint="eastAsia" w:cs="仿宋"/>
          <w:szCs w:val="20"/>
        </w:rPr>
        <w:t>记录。</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（二）甲方针对乙方行为所做出的安全检查，必须有书面记录。并且，甲方必须立即将检查情况向乙方通报。</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（三）甲方对乙方进行安全检查时，有权向乙方询问有关安全措施落实情况，指导或提出安检意见和建议。</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四）甲方对乙方工作中存在的不符合安全规范、规程的行为，有权责令乙方立即予以整改、排除或限期改正。乙方应主动、自觉地接受甲方的安全监督、检查,对甲方检查中发现的问题、隐患，应立即采取措施予以消除，如发现重大事故隐患，甲方有权责令乙方立即停止作业，待重大事故隐患排除后,经甲方审查同意,方可恢复作业。否则有权单方终止与乙方之间的相关业务合同的履行。</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 xml:space="preserve">四、乙方安全职责 </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（一）乙方严禁将</w:t>
      </w:r>
      <w:r>
        <w:rPr>
          <w:rFonts w:hint="eastAsia" w:cs="仿宋"/>
          <w:szCs w:val="20"/>
          <w:u w:val="single"/>
          <w:lang w:val="en-US" w:eastAsia="zh-CN"/>
        </w:rPr>
        <w:t>滚筒筛隐患整改维修改造</w:t>
      </w:r>
      <w:r>
        <w:rPr>
          <w:rFonts w:hint="eastAsia" w:cs="仿宋"/>
          <w:szCs w:val="20"/>
        </w:rPr>
        <w:t>项目转包或者违法分包。否则，发生安全事故的，由乙方承担全部安全生产责任。</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（二）乙方应保证其人员遵守甲方的规章制度，接受甲方的安全检查、监督，对违反甲方有关安全管理制度及规定的行为，甲方有权责令乙方及乙方人员立即停止，给甲方带来的损失由乙方承担违约责任。</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三）乙方人员进入甲方现场前，必须到甲方主管部门备案并接受安全教育，严禁“三无”人员进入甲方工作区域，乙方人员必须按在甲方登记备案的名册人员进入作业区域，未经甲方认可不得擅自更换，否则，发生安全事故的，由乙方承担全部安全生产责任。</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（四）乙方各类作业人员必须具有相应的安全技术素质，特种作业人员必须持有有效的特种作业操作证方准上岗，所使用的特种设备必须取得有效的特种设备强制安全检验合格证，方准现场使用。</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（五）乙方人员在作业期间应当接受甲方的安全监督检查，经查证发现的安全隐患，乙方必须立即采取有效措施予以整改或纠正，否则甲方有权现场勒令停工。</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（六）乙方应为其所属人员提供符合国家标准或者行业标准的劳动防护用品, 并监督、教育其所属人员按照使用规则正确佩戴、使用。乙方人员在甲方作业期间，必须按工种需要正确穿戴好劳保防护用品，同时应严格遵守甲方各项安全生产管理制度。否则，因此而产生的一切法律后果，由乙方承担。</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（七）乙方维保人员作业前应先熟悉现场，并主动询问所处区域作业环境可能存在的危险因素、预防措施，确认是否停电挂牌上锁，否则，因此而产生的一切法律后果，由乙方承担。</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八）乙方人员在作业现场不得擅自动用或操作甲方的设备和机具，不得擅自拆卸、损坏甲方设备设施的安全装置，妥善保管甲方提供的消防器材，否则，按本协议约定视为违约，乙方承担违约金，因此造成的损失由乙方负责赔偿。</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（九）乙方人员凡进行危险作业必须有专人安全监护，不得一人操作。作业人员必须按规定穿戴、使用劳保防护用品，并采取必要的安全技术措施。</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（十）乙方不得使用国家明令淘汰、禁止使用的危及生产安全和环境的工艺、设备及材料，乙方应保证所用自备设备技术状况良好、安全保护装置齐全有效，特种设备应按国家规定定期进行检测。</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一）乙方在作业期间如需借用甲方设备、工器具，应由双方协商，乙方必须对甲方的设备、工器具确认其符合安全要求，并给甲方出具借用的书面记录，乙方一旦使用甲方的设备、工器具，表示该设备、工器具完好且无任何安全隐患，若因该设备、工器具造成安全事故的，由乙方承担全部责任；若乙方借用甲方的设备、工器具时未执行或未完全执行本项要求，一旦因该设备、工器具造成安全事故的，由乙方承担全部责任。</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（十二）乙方作业期间不得私自接装临时电气线路，作业前必须取得甲方同意，并按甲方的规定办理临时低压电气线路的审批手续。</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三）在易燃、易爆、有毒有害危险区域进行施工作业，甲乙双方必须严格执行有关专业管理制度，采取有效的预防措施，并办理相关的施工或动火手续，乙方必须提前将安全预防措施报送甲方在危险区域范围内的部门和甲方安</w:t>
      </w:r>
      <w:r>
        <w:rPr>
          <w:rFonts w:hint="eastAsia" w:cs="仿宋"/>
          <w:szCs w:val="20"/>
          <w:lang w:val="en-US" w:eastAsia="zh-CN"/>
        </w:rPr>
        <w:t>全</w:t>
      </w:r>
      <w:r>
        <w:rPr>
          <w:rFonts w:hint="eastAsia" w:cs="仿宋"/>
          <w:szCs w:val="20"/>
        </w:rPr>
        <w:t>部审核。</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四）在甲方作业场所内，乙方应落实安全责任，保证其工作人员严格遵守甲方的有关规章制度，安全操作规程及生产管理部门的有关规定，乙方应确保工作人员无犯罪记录。如乙方或乙方工作人员违反上述约定，乙方应当按每人次2000元的标准向甲方支付违约金或由甲方从应支付给乙方的合同价款中先行扣除。</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五）乙方应教育其员工遵纪守法，不得利用为甲方服务的便利盗取甲方或甲方工作人员个人及甲方客户的财物、损坏设备设施、打架斗殴、寻衅滋事等损害甲方或第三方利益行为或进行其他违法犯罪行为；否则，由乙方对甲方、甲方工作人员个人或甲方客户先行承担赔偿责任。</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六）乙方必须严格执行施工规范、安全操作规程、环境保护规定等，在进行工作时必须做好安全、环境保护等工作，发生的一切人身、财产损失（设备设施损坏、原辅材料损失、盗窃、打架斗殴、挑衅滋事等损害甲方或第三方利益的情况）及因安全、环境问题引起的法律责任（包括但不限于有关部门对甲方的罚款、甲方因此应向第三方支付的违约金以及乙方应付的违约金），造成的损失全部由乙方承担，给甲方以及其他第三方造成损害的，由乙方向甲方或第三方承担责任；属于第三方责任的，由乙方自行向第三方主张赔偿，与甲方无关。</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（十七）乙方在此声明，已收到并接受甲方有关规章制度，乙方承诺，其管理标准不低于上述规定并要求其所属人员遵守上述规定。</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（十八）乙方所维修的项目</w:t>
      </w:r>
    </w:p>
    <w:p>
      <w:pPr>
        <w:keepNext w:val="0"/>
        <w:keepLines w:val="0"/>
        <w:pageBreakBefore w:val="0"/>
        <w:kinsoku/>
        <w:overflowPunct/>
        <w:topLinePunct w:val="0"/>
        <w:autoSpaceDE/>
        <w:autoSpaceDN/>
        <w:bidi w:val="0"/>
        <w:adjustRightInd/>
        <w:snapToGrid w:val="0"/>
        <w:spacing w:beforeAutospacing="0" w:line="240" w:lineRule="auto"/>
        <w:ind w:firstLine="552" w:firstLineChars="230"/>
        <w:textAlignment w:val="auto"/>
        <w:rPr>
          <w:rFonts w:cs="仿宋"/>
          <w:szCs w:val="20"/>
        </w:rPr>
      </w:pPr>
      <w:r>
        <w:rPr>
          <w:rFonts w:hint="eastAsia" w:cs="仿宋"/>
          <w:szCs w:val="20"/>
        </w:rPr>
        <w:t>乙方所承包的项目：</w:t>
      </w:r>
      <w:r>
        <w:rPr>
          <w:rFonts w:hint="eastAsia" w:cs="仿宋"/>
          <w:szCs w:val="20"/>
          <w:u w:val="single"/>
          <w:lang w:val="en-US" w:eastAsia="zh-CN"/>
        </w:rPr>
        <w:t>滚筒筛隐患整改维修改造</w:t>
      </w:r>
      <w:r>
        <w:rPr>
          <w:rFonts w:hint="eastAsia" w:cs="仿宋"/>
          <w:szCs w:val="20"/>
        </w:rPr>
        <w:t>。</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十九）乙方应文明施工、文明作业；认真贯彻环境保护法，对污染环境的废弃物应严格按照标准排放和处置，因环境问题造成的一切损失由乙方承担。爱护甲方物业和各种安全设施、设备、器材，不得擅自使用、挪动；如确需使用或挪动时，应及时向甲方报告。</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五、违约责任</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（一）本协议履行期间，对乙方工作中存在的安全隐患，每发现一起，乙方应支付违约金 1000 元，甲方有权要求乙方予以整改，乙方拒不整改，或经两次整改仍不到位的，甲方有权解除商务合同，甲方因此解除商务合同的，乙方应向甲方支付商务合同标金额（指合同结算金额）的10%作为违约金，给甲方造成损失的，由乙方负责赔偿，因此造成的一切安全责任，均由乙方承担。</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本项目两个违约金不冲突，并行处理。</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（二）若因乙方原因出现安全责任问题或安全事故，乙方应赔偿甲方因此所受损失，并应向甲方支付商务合同金额的30%作为违约金。</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（三）除本条第（一）项和第（二）项以外，甲乙双方若有违反本协议约定的其他行为，每发生一项，应支付违约金1000元。</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（四）因乙方违约而发生的违约金和赔偿金，甲方可在商务合同规定的应付乙方的相关款项中予以扣减。</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（五）如乙方或乙方所属人员违反甲方有关规章制度，除商务合同另有约定外，甲方有权要求乙方按甲方员工违反相关规章制度时所应接受的内部处罚金额向甲方支付违约金。</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 xml:space="preserve">六、附则： </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（一）本安全管理协议书与商务合同具有同等法律效力。</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（二）本协议有效期与主合同保持一致。</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（三）合同未尽事宜，由双方另行协商处理。</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 xml:space="preserve">（四）本协议在履行过程中发生争议，由双方协商解决，协商不成任何一方可向济南市章丘区人民法院提起诉讼。 </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cs="仿宋"/>
          <w:szCs w:val="20"/>
        </w:rPr>
      </w:pPr>
      <w:r>
        <w:rPr>
          <w:rFonts w:hint="eastAsia" w:cs="仿宋"/>
          <w:szCs w:val="20"/>
        </w:rPr>
        <w:t>七、本协议一式</w:t>
      </w:r>
      <w:r>
        <w:rPr>
          <w:rFonts w:hint="eastAsia" w:cs="仿宋"/>
          <w:szCs w:val="20"/>
          <w:lang w:val="en-US" w:eastAsia="zh-CN"/>
        </w:rPr>
        <w:t>陆</w:t>
      </w:r>
      <w:r>
        <w:rPr>
          <w:rFonts w:hint="eastAsia" w:cs="仿宋"/>
          <w:szCs w:val="20"/>
        </w:rPr>
        <w:t>份，甲方</w:t>
      </w:r>
      <w:r>
        <w:rPr>
          <w:rFonts w:hint="eastAsia" w:cs="仿宋"/>
          <w:szCs w:val="20"/>
          <w:lang w:val="en-US" w:eastAsia="zh-CN"/>
        </w:rPr>
        <w:t>肆</w:t>
      </w:r>
      <w:r>
        <w:rPr>
          <w:rFonts w:hint="eastAsia" w:cs="仿宋"/>
          <w:szCs w:val="20"/>
        </w:rPr>
        <w:t>份，乙方</w:t>
      </w:r>
      <w:r>
        <w:rPr>
          <w:rFonts w:hint="eastAsia" w:cs="仿宋"/>
          <w:szCs w:val="20"/>
          <w:lang w:eastAsia="zh-CN"/>
        </w:rPr>
        <w:t>贰</w:t>
      </w:r>
      <w:r>
        <w:rPr>
          <w:rFonts w:hint="eastAsia" w:cs="仿宋"/>
          <w:szCs w:val="20"/>
        </w:rPr>
        <w:t xml:space="preserve">份，甲乙双方代表签字并盖章后生效。 </w:t>
      </w:r>
    </w:p>
    <w:p>
      <w:pPr>
        <w:keepNext w:val="0"/>
        <w:keepLines w:val="0"/>
        <w:pageBreakBefore w:val="0"/>
        <w:kinsoku/>
        <w:overflowPunct/>
        <w:topLinePunct w:val="0"/>
        <w:autoSpaceDE/>
        <w:autoSpaceDN/>
        <w:bidi w:val="0"/>
        <w:adjustRightInd/>
        <w:snapToGrid w:val="0"/>
        <w:spacing w:beforeAutospacing="0" w:line="240" w:lineRule="auto"/>
        <w:ind w:firstLine="434" w:firstLineChars="181"/>
        <w:textAlignment w:val="auto"/>
        <w:rPr>
          <w:rFonts w:hint="eastAsia" w:cs="仿宋"/>
          <w:szCs w:val="20"/>
        </w:rPr>
      </w:pPr>
      <w:r>
        <w:rPr>
          <w:rFonts w:hint="eastAsia" w:cs="仿宋"/>
          <w:szCs w:val="20"/>
        </w:rPr>
        <w:t xml:space="preserve">八、本协议履行地：济南市章丘区。 </w:t>
      </w:r>
    </w:p>
    <w:p>
      <w:pPr>
        <w:keepNext w:val="0"/>
        <w:keepLines w:val="0"/>
        <w:pageBreakBefore w:val="0"/>
        <w:kinsoku/>
        <w:overflowPunct/>
        <w:topLinePunct w:val="0"/>
        <w:autoSpaceDE/>
        <w:autoSpaceDN/>
        <w:bidi w:val="0"/>
        <w:adjustRightInd/>
        <w:spacing w:beforeAutospacing="0" w:line="240" w:lineRule="auto"/>
        <w:textAlignment w:val="auto"/>
        <w:rPr>
          <w:rFonts w:hint="eastAsia" w:cs="仿宋"/>
          <w:szCs w:val="20"/>
        </w:rPr>
      </w:pPr>
    </w:p>
    <w:p>
      <w:pPr>
        <w:keepNext w:val="0"/>
        <w:keepLines w:val="0"/>
        <w:pageBreakBefore w:val="0"/>
        <w:kinsoku/>
        <w:overflowPunct/>
        <w:topLinePunct w:val="0"/>
        <w:autoSpaceDE/>
        <w:autoSpaceDN/>
        <w:bidi w:val="0"/>
        <w:adjustRightInd/>
        <w:spacing w:beforeAutospacing="0" w:line="240" w:lineRule="auto"/>
        <w:textAlignment w:val="auto"/>
        <w:rPr>
          <w:rFonts w:hint="eastAsia" w:cs="仿宋"/>
          <w:szCs w:val="20"/>
        </w:rPr>
      </w:pPr>
    </w:p>
    <w:p>
      <w:pPr>
        <w:keepNext w:val="0"/>
        <w:keepLines w:val="0"/>
        <w:pageBreakBefore w:val="0"/>
        <w:kinsoku/>
        <w:overflowPunct/>
        <w:topLinePunct w:val="0"/>
        <w:autoSpaceDE/>
        <w:autoSpaceDN/>
        <w:bidi w:val="0"/>
        <w:adjustRightInd/>
        <w:spacing w:beforeAutospacing="0" w:line="240" w:lineRule="auto"/>
        <w:ind w:left="5040" w:hanging="5040" w:hangingChars="2100"/>
        <w:textAlignment w:val="auto"/>
        <w:rPr>
          <w:rFonts w:hint="eastAsia" w:cs="仿宋"/>
          <w:szCs w:val="20"/>
        </w:rPr>
      </w:pPr>
      <w:r>
        <w:rPr>
          <w:rFonts w:hint="eastAsia" w:cs="仿宋"/>
          <w:szCs w:val="20"/>
        </w:rPr>
        <w:t>甲方：</w:t>
      </w:r>
      <w:r>
        <w:rPr>
          <w:rFonts w:hint="eastAsia" w:cs="仿宋"/>
          <w:szCs w:val="20"/>
          <w:lang w:eastAsia="zh-CN"/>
        </w:rPr>
        <w:t>济南黄河爆破工程有限责任公司</w:t>
      </w:r>
      <w:r>
        <w:rPr>
          <w:rFonts w:hint="eastAsia" w:cs="仿宋"/>
          <w:szCs w:val="20"/>
        </w:rPr>
        <w:t xml:space="preserve">   </w:t>
      </w:r>
      <w:r>
        <w:rPr>
          <w:rFonts w:hint="eastAsia" w:cs="仿宋"/>
          <w:szCs w:val="20"/>
          <w:lang w:val="en-US" w:eastAsia="zh-CN"/>
        </w:rPr>
        <w:t xml:space="preserve">      </w:t>
      </w:r>
      <w:r>
        <w:rPr>
          <w:rFonts w:hint="eastAsia" w:cs="仿宋"/>
          <w:szCs w:val="20"/>
        </w:rPr>
        <w:t>乙方：</w:t>
      </w:r>
    </w:p>
    <w:p>
      <w:pPr>
        <w:keepNext w:val="0"/>
        <w:keepLines w:val="0"/>
        <w:pageBreakBefore w:val="0"/>
        <w:kinsoku/>
        <w:overflowPunct/>
        <w:topLinePunct w:val="0"/>
        <w:autoSpaceDE/>
        <w:autoSpaceDN/>
        <w:bidi w:val="0"/>
        <w:adjustRightInd/>
        <w:snapToGrid w:val="0"/>
        <w:spacing w:beforeAutospacing="0" w:line="240" w:lineRule="auto"/>
        <w:ind w:firstLine="380" w:firstLineChars="181"/>
        <w:textAlignment w:val="auto"/>
        <w:rPr>
          <w:rFonts w:cs="仿宋"/>
          <w:sz w:val="21"/>
          <w:szCs w:val="21"/>
        </w:rPr>
      </w:pPr>
    </w:p>
    <w:p>
      <w:pPr>
        <w:keepNext w:val="0"/>
        <w:keepLines w:val="0"/>
        <w:pageBreakBefore w:val="0"/>
        <w:kinsoku/>
        <w:overflowPunct/>
        <w:topLinePunct w:val="0"/>
        <w:autoSpaceDE/>
        <w:autoSpaceDN/>
        <w:bidi w:val="0"/>
        <w:adjustRightInd/>
        <w:snapToGrid w:val="0"/>
        <w:spacing w:beforeAutospacing="0" w:line="240" w:lineRule="auto"/>
        <w:textAlignment w:val="auto"/>
        <w:rPr>
          <w:rFonts w:cs="仿宋"/>
          <w:szCs w:val="20"/>
        </w:rPr>
      </w:pPr>
      <w:r>
        <w:rPr>
          <w:rFonts w:hint="eastAsia" w:cs="仿宋"/>
          <w:szCs w:val="20"/>
        </w:rPr>
        <w:t xml:space="preserve">甲方：(章)                         </w:t>
      </w:r>
      <w:r>
        <w:rPr>
          <w:rFonts w:hint="eastAsia" w:cs="仿宋"/>
          <w:szCs w:val="20"/>
          <w:lang w:val="en-US" w:eastAsia="zh-CN"/>
        </w:rPr>
        <w:t xml:space="preserve">      </w:t>
      </w:r>
      <w:r>
        <w:rPr>
          <w:rFonts w:hint="eastAsia" w:cs="仿宋"/>
          <w:szCs w:val="20"/>
        </w:rPr>
        <w:t xml:space="preserve">乙方：(章)                                                       </w:t>
      </w:r>
    </w:p>
    <w:p>
      <w:pPr>
        <w:keepNext w:val="0"/>
        <w:keepLines w:val="0"/>
        <w:pageBreakBefore w:val="0"/>
        <w:kinsoku/>
        <w:overflowPunct/>
        <w:topLinePunct w:val="0"/>
        <w:autoSpaceDE/>
        <w:autoSpaceDN/>
        <w:bidi w:val="0"/>
        <w:adjustRightInd/>
        <w:snapToGrid w:val="0"/>
        <w:spacing w:beforeAutospacing="0" w:line="240" w:lineRule="auto"/>
        <w:textAlignment w:val="auto"/>
        <w:rPr>
          <w:rFonts w:hint="eastAsia" w:cs="仿宋"/>
          <w:szCs w:val="20"/>
          <w:lang w:val="en-US" w:eastAsia="zh-CN"/>
        </w:rPr>
      </w:pPr>
    </w:p>
    <w:p>
      <w:pPr>
        <w:keepNext w:val="0"/>
        <w:keepLines w:val="0"/>
        <w:pageBreakBefore w:val="0"/>
        <w:kinsoku/>
        <w:overflowPunct/>
        <w:topLinePunct w:val="0"/>
        <w:autoSpaceDE/>
        <w:autoSpaceDN/>
        <w:bidi w:val="0"/>
        <w:adjustRightInd/>
        <w:snapToGrid w:val="0"/>
        <w:spacing w:beforeAutospacing="0" w:line="240" w:lineRule="auto"/>
        <w:textAlignment w:val="auto"/>
        <w:rPr>
          <w:rFonts w:cs="仿宋"/>
          <w:szCs w:val="20"/>
        </w:rPr>
      </w:pPr>
      <w:r>
        <w:rPr>
          <w:rFonts w:hint="eastAsia" w:cs="仿宋"/>
          <w:szCs w:val="20"/>
          <w:lang w:val="en-US" w:eastAsia="zh-CN"/>
        </w:rPr>
        <w:t>部门负责人</w:t>
      </w:r>
      <w:r>
        <w:rPr>
          <w:rFonts w:hint="eastAsia" w:cs="仿宋"/>
          <w:szCs w:val="20"/>
        </w:rPr>
        <w:t xml:space="preserve">：                       </w:t>
      </w:r>
      <w:r>
        <w:rPr>
          <w:rFonts w:hint="eastAsia" w:cs="仿宋"/>
          <w:szCs w:val="20"/>
          <w:lang w:val="en-US" w:eastAsia="zh-CN"/>
        </w:rPr>
        <w:t xml:space="preserve">      部门负责人</w:t>
      </w:r>
      <w:r>
        <w:rPr>
          <w:rFonts w:hint="eastAsia" w:cs="仿宋"/>
          <w:szCs w:val="20"/>
        </w:rPr>
        <w:t xml:space="preserve">：                                  </w:t>
      </w:r>
    </w:p>
    <w:p>
      <w:pPr>
        <w:keepNext w:val="0"/>
        <w:keepLines w:val="0"/>
        <w:pageBreakBefore w:val="0"/>
        <w:kinsoku/>
        <w:overflowPunct/>
        <w:topLinePunct w:val="0"/>
        <w:autoSpaceDE/>
        <w:autoSpaceDN/>
        <w:bidi w:val="0"/>
        <w:adjustRightInd/>
        <w:snapToGrid w:val="0"/>
        <w:spacing w:beforeAutospacing="0" w:line="240" w:lineRule="auto"/>
        <w:jc w:val="center"/>
        <w:textAlignment w:val="auto"/>
        <w:rPr>
          <w:rFonts w:hint="eastAsia" w:cs="仿宋"/>
          <w:szCs w:val="20"/>
        </w:rPr>
      </w:pPr>
    </w:p>
    <w:p>
      <w:pPr>
        <w:keepNext w:val="0"/>
        <w:keepLines w:val="0"/>
        <w:pageBreakBefore w:val="0"/>
        <w:kinsoku/>
        <w:overflowPunct/>
        <w:topLinePunct w:val="0"/>
        <w:autoSpaceDE/>
        <w:autoSpaceDN/>
        <w:bidi w:val="0"/>
        <w:adjustRightInd/>
        <w:snapToGrid w:val="0"/>
        <w:spacing w:beforeAutospacing="0" w:line="240" w:lineRule="auto"/>
        <w:jc w:val="center"/>
        <w:textAlignment w:val="auto"/>
        <w:rPr>
          <w:rFonts w:hint="eastAsia" w:cs="仿宋"/>
          <w:szCs w:val="20"/>
        </w:rPr>
      </w:pPr>
    </w:p>
    <w:p>
      <w:pPr>
        <w:keepNext w:val="0"/>
        <w:keepLines w:val="0"/>
        <w:pageBreakBefore w:val="0"/>
        <w:kinsoku/>
        <w:overflowPunct/>
        <w:topLinePunct w:val="0"/>
        <w:autoSpaceDE/>
        <w:autoSpaceDN/>
        <w:bidi w:val="0"/>
        <w:adjustRightInd/>
        <w:snapToGrid w:val="0"/>
        <w:spacing w:beforeAutospacing="0" w:line="240" w:lineRule="auto"/>
        <w:jc w:val="center"/>
        <w:textAlignment w:val="auto"/>
        <w:rPr>
          <w:rFonts w:hint="eastAsia" w:cs="仿宋"/>
          <w:szCs w:val="20"/>
        </w:rPr>
      </w:pPr>
      <w:r>
        <w:rPr>
          <w:rFonts w:hint="eastAsia" w:cs="仿宋"/>
          <w:szCs w:val="20"/>
        </w:rPr>
        <w:t xml:space="preserve">年   月 </w:t>
      </w:r>
      <w:r>
        <w:rPr>
          <w:rFonts w:hint="eastAsia" w:cs="仿宋"/>
          <w:szCs w:val="20"/>
          <w:lang w:val="en-US" w:eastAsia="zh-CN"/>
        </w:rPr>
        <w:t xml:space="preserve"> </w:t>
      </w:r>
      <w:r>
        <w:rPr>
          <w:rFonts w:hint="eastAsia" w:cs="仿宋"/>
          <w:szCs w:val="20"/>
        </w:rPr>
        <w:t xml:space="preserve"> 日</w:t>
      </w:r>
    </w:p>
    <w:p>
      <w:pPr>
        <w:keepNext w:val="0"/>
        <w:keepLines w:val="0"/>
        <w:pageBreakBefore w:val="0"/>
        <w:kinsoku/>
        <w:overflowPunct/>
        <w:topLinePunct w:val="0"/>
        <w:autoSpaceDE/>
        <w:autoSpaceDN/>
        <w:bidi w:val="0"/>
        <w:adjustRightInd/>
        <w:spacing w:beforeAutospacing="0" w:line="240" w:lineRule="auto"/>
        <w:textAlignment w:val="auto"/>
        <w:rPr>
          <w:rFonts w:hint="eastAsia" w:cs="仿宋"/>
          <w:szCs w:val="20"/>
        </w:rPr>
      </w:pPr>
      <w:r>
        <w:rPr>
          <w:rFonts w:hint="eastAsia" w:cs="仿宋"/>
          <w:szCs w:val="20"/>
        </w:rPr>
        <w:br w:type="page"/>
      </w:r>
    </w:p>
    <w:p>
      <w:pPr>
        <w:pStyle w:val="26"/>
        <w:keepNext w:val="0"/>
        <w:keepLines w:val="0"/>
        <w:pageBreakBefore w:val="0"/>
        <w:kinsoku/>
        <w:overflowPunct/>
        <w:topLinePunct w:val="0"/>
        <w:autoSpaceDE/>
        <w:autoSpaceDN/>
        <w:bidi w:val="0"/>
        <w:adjustRightInd/>
        <w:spacing w:beforeAutospacing="0" w:line="240" w:lineRule="auto"/>
        <w:ind w:left="0" w:leftChars="0" w:firstLine="0" w:firstLineChars="0"/>
        <w:textAlignment w:val="auto"/>
        <w:rPr>
          <w:rFonts w:hint="eastAsia"/>
        </w:rPr>
      </w:pPr>
    </w:p>
    <w:p>
      <w:pPr>
        <w:pStyle w:val="26"/>
        <w:keepNext w:val="0"/>
        <w:keepLines w:val="0"/>
        <w:pageBreakBefore w:val="0"/>
        <w:kinsoku/>
        <w:overflowPunct/>
        <w:topLinePunct w:val="0"/>
        <w:autoSpaceDE/>
        <w:autoSpaceDN/>
        <w:bidi w:val="0"/>
        <w:adjustRightInd/>
        <w:spacing w:beforeAutospacing="0" w:line="240" w:lineRule="auto"/>
        <w:jc w:val="left"/>
        <w:textAlignment w:val="auto"/>
        <w:rPr>
          <w:rFonts w:hint="eastAsia" w:ascii="黑体" w:hAnsi="宋体" w:eastAsia="黑体" w:cs="Times New Roman"/>
          <w:b/>
          <w:bCs/>
          <w:kern w:val="0"/>
          <w:sz w:val="30"/>
          <w:szCs w:val="30"/>
          <w:lang w:val="en-US" w:eastAsia="zh-CN" w:bidi="ar-SA"/>
        </w:rPr>
      </w:pPr>
      <w:r>
        <w:rPr>
          <w:rFonts w:hint="eastAsia" w:cs="仿宋"/>
          <w:b/>
          <w:sz w:val="36"/>
          <w:szCs w:val="36"/>
          <w:lang w:val="en-US" w:eastAsia="zh-CN"/>
        </w:rPr>
        <w:t>附件二：           廉洁协议书</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甲方：</w:t>
      </w:r>
      <w:r>
        <w:rPr>
          <w:rFonts w:hint="eastAsia" w:ascii="宋体" w:hAnsi="宋体" w:eastAsia="宋体" w:cs="宋体"/>
          <w:kern w:val="0"/>
          <w:sz w:val="24"/>
          <w:lang w:eastAsia="zh-CN"/>
        </w:rPr>
        <w:t>济南黄河爆破工程有限责任公司</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乙方：</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为规范甲乙双方在业务交往活动中的行为，严防在业务活动中发生违规违纪违法行为，经双方协商，达成廉洁协议如下：</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第一条 甲乙双方共同责任</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1、严格遵守国家的法律法规及廉政建设有关规定。</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2、共同营造廉洁、诚信、公平、公正的业务交往环境。</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3、加强对有关人员的管理和教育，自觉抵制不廉洁行为。</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4、发现对方及及其人员在业务活动中有违反廉政规定的行为，有及时要求对方纠正，并向纪检监察机关或司法机关举报的权利和义务。</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第二条 甲方及其人员的责任</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1、禁止索要或接受乙方及其相关单位和人员提供的回扣、礼金、有价证劵、支付凭证、贵重物品等。</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2、禁止在乙方及其相关单位报销任何应由甲方或个人支付的费用。</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3、禁止在乙方及其相关单位投资入股，禁止向乙方单位及人员借款或委托买卖股票、债券等。</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4、禁止暗示、要求和接受乙方及其相关单位为其购买或装修住房，为婚丧嫁娶、配偶和子女的工作安排或上学等提供方便。</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5、禁止接受乙方及其相关单位安排的宴请以及旅游、健身等娱乐活动。</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6、禁止接受乙方及其相关单位购置或提供的通讯工具、交通工具和高档办公用品。</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7、禁止通过乙方及其相关单位为其配偶、子女及他人谋取不正当利益。</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8、禁止在乙方或乙方相关单位兼职和领取兼职工资及报酬；禁止利用甲方的商业秘密谋取个人私利。</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9、禁止利用职权和工作之便向乙方提出上述各项禁止事项之外其它违背党规党纪、国家法律法规和本公司廉洁自律有关规定的事项或要求。</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b w:val="0"/>
          <w:bCs w:val="0"/>
          <w:kern w:val="0"/>
          <w:sz w:val="24"/>
        </w:rPr>
      </w:pPr>
      <w:r>
        <w:rPr>
          <w:rFonts w:hint="eastAsia" w:ascii="宋体" w:hAnsi="宋体" w:eastAsia="宋体" w:cs="宋体"/>
          <w:kern w:val="0"/>
          <w:sz w:val="24"/>
        </w:rPr>
        <w:t>10、</w:t>
      </w:r>
      <w:r>
        <w:rPr>
          <w:rFonts w:hint="eastAsia" w:ascii="宋体" w:hAnsi="宋体" w:eastAsia="宋体" w:cs="宋体"/>
          <w:b w:val="0"/>
          <w:bCs w:val="0"/>
          <w:kern w:val="0"/>
          <w:sz w:val="24"/>
        </w:rPr>
        <w:t>如乙方有知悉/怀疑甲方员工有违反上述规定的，欢迎与甲方纪委办联系。甲方设定专用电话</w:t>
      </w:r>
      <w:r>
        <w:rPr>
          <w:rFonts w:hint="eastAsia" w:ascii="宋体" w:hAnsi="宋体" w:eastAsia="宋体" w:cs="宋体"/>
          <w:b w:val="0"/>
          <w:bCs w:val="0"/>
          <w:kern w:val="0"/>
          <w:sz w:val="24"/>
          <w:lang w:val="en-US" w:eastAsia="zh-CN"/>
        </w:rPr>
        <w:t>0531-83790163</w:t>
      </w:r>
      <w:r>
        <w:rPr>
          <w:rFonts w:hint="eastAsia" w:ascii="宋体" w:hAnsi="宋体" w:eastAsia="宋体" w:cs="宋体"/>
          <w:b w:val="0"/>
          <w:bCs w:val="0"/>
          <w:kern w:val="0"/>
          <w:sz w:val="24"/>
        </w:rPr>
        <w:t>接受乙方的投诉</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rPr>
        <w:t>甲方会对所有信息提供者及所提供的全部资料严格保密。</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第三条 乙方及其人员责任</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1、禁止向甲方及其人员提供回扣、礼金、有价证劵、支付凭证、贵重物品等。</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2、禁止为甲方及其人员报销应由甲方或甲方个人支付的费用。</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3、禁止为甲方及其人员在乙方投资入股、个人借款等提供方便。</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4、禁止为甲方及其人员购买或装修住房，为婚丧嫁娶、配偶和子女工作安排或上学等提供方便。</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5、禁止为甲方及其人员安排宴请以及旅游、健身、娱乐等活动。</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6、禁止为甲方及其人员购置或提供通讯工具、交通工具和高档办公用品。</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7、禁止为甲方及其人员的配偶、子女及其它亲属谋取不正当利益提供方便。</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8、禁止安排甲方人员在乙方或乙方相关企业兼职和领取兼职工资及报酬；禁止向甲方人员打探有关涉及甲方的商业秘密。</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9、甲方对涉嫌与甲方有关的不廉洁行为进行调查时，乙方有配合甲方提供证据、作证的义务</w:t>
      </w:r>
      <w:r>
        <w:rPr>
          <w:rFonts w:hint="eastAsia" w:ascii="宋体" w:hAnsi="宋体" w:eastAsia="宋体" w:cs="宋体"/>
          <w:kern w:val="0"/>
          <w:sz w:val="24"/>
          <w:lang w:eastAsia="zh-CN"/>
        </w:rPr>
        <w:t>。</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第四条 违约责任</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1、甲方及其人员有违反本协议第一条、第二条规定的，按照管理权限，依据有关纪律规定给予有关人员纪律处分或组织处理；涉嫌犯罪的，移交司法机关追究刑事责任。</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乙方及其人员有违反本协议第一条、第三条规定的，甲方有权依据本协议单方决定变更甲、乙双方所有合同中关于数额、履行期限等相关权利与义务的条款，且有权解除与乙方的所有协议、合同并不承担任何违约责任。甲方并有权要求乙方赔偿由此造成的甲方损失（包括直接损失、可得利益损失、律师费等）。涉嫌犯罪的，移交司法机关追究刑事责任。</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第五条 本协议经双方签署后生效</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甲乙双方通过招标或其它方式签订业务合同时，必须签署本协议。本协议作为业务合同的附件，与合同具有同等效力；如双方未签订合同，本协议独立有效。</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第六条 甲乙双方及其人员在合同履行完毕后，发现在合同执行期间有违反本协议规定的行为，仍按本协议规定处理。</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第七条 本协议书一式</w:t>
      </w:r>
      <w:r>
        <w:rPr>
          <w:rFonts w:hint="eastAsia" w:ascii="宋体" w:hAnsi="宋体" w:eastAsia="宋体" w:cs="宋体"/>
          <w:kern w:val="0"/>
          <w:sz w:val="24"/>
          <w:lang w:val="en-US" w:eastAsia="zh-CN"/>
        </w:rPr>
        <w:t>陆</w:t>
      </w:r>
      <w:r>
        <w:rPr>
          <w:rFonts w:hint="eastAsia" w:ascii="宋体" w:hAnsi="宋体" w:eastAsia="宋体" w:cs="宋体"/>
          <w:kern w:val="0"/>
          <w:sz w:val="24"/>
        </w:rPr>
        <w:t>份，甲方执</w:t>
      </w:r>
      <w:r>
        <w:rPr>
          <w:rFonts w:hint="eastAsia" w:ascii="宋体" w:hAnsi="宋体" w:eastAsia="宋体" w:cs="宋体"/>
          <w:kern w:val="0"/>
          <w:sz w:val="24"/>
          <w:lang w:val="en-US" w:eastAsia="zh-CN"/>
        </w:rPr>
        <w:t>肆</w:t>
      </w:r>
      <w:r>
        <w:rPr>
          <w:rFonts w:hint="eastAsia" w:ascii="宋体" w:hAnsi="宋体" w:eastAsia="宋体" w:cs="宋体"/>
          <w:kern w:val="0"/>
          <w:sz w:val="24"/>
        </w:rPr>
        <w:t>份，</w:t>
      </w:r>
      <w:r>
        <w:rPr>
          <w:rFonts w:hint="eastAsia" w:ascii="宋体" w:hAnsi="宋体" w:eastAsia="宋体" w:cs="宋体"/>
          <w:kern w:val="0"/>
          <w:sz w:val="24"/>
          <w:lang w:val="en-US" w:eastAsia="zh-CN"/>
        </w:rPr>
        <w:t>乙方执贰份，</w:t>
      </w:r>
      <w:r>
        <w:rPr>
          <w:rFonts w:hint="eastAsia" w:ascii="宋体" w:hAnsi="宋体" w:eastAsia="宋体" w:cs="宋体"/>
          <w:kern w:val="0"/>
          <w:sz w:val="24"/>
        </w:rPr>
        <w:t>具有同等效力。</w:t>
      </w:r>
    </w:p>
    <w:p>
      <w:pPr>
        <w:keepNext w:val="0"/>
        <w:keepLines w:val="0"/>
        <w:pageBreakBefore w:val="0"/>
        <w:widowControl w:val="0"/>
        <w:kinsoku/>
        <w:overflowPunct/>
        <w:topLinePunct w:val="0"/>
        <w:autoSpaceDE/>
        <w:autoSpaceDN/>
        <w:bidi w:val="0"/>
        <w:adjustRightInd/>
        <w:spacing w:beforeAutospacing="0" w:line="24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第八条 由此引起的纠纷由甲方所在地人民法院管辖</w:t>
      </w:r>
      <w:r>
        <w:rPr>
          <w:rFonts w:hint="eastAsia" w:ascii="宋体" w:hAnsi="宋体" w:eastAsia="宋体" w:cs="宋体"/>
          <w:kern w:val="0"/>
          <w:sz w:val="24"/>
          <w:lang w:eastAsia="zh-CN"/>
        </w:rPr>
        <w:t>。</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6"/>
        <w:gridCol w:w="4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noWrap w:val="0"/>
            <w:vAlign w:val="top"/>
          </w:tcPr>
          <w:p>
            <w:pPr>
              <w:pStyle w:val="13"/>
              <w:keepNext w:val="0"/>
              <w:keepLines w:val="0"/>
              <w:pageBreakBefore w:val="0"/>
              <w:widowControl w:val="0"/>
              <w:kinsoku/>
              <w:wordWrap w:val="0"/>
              <w:overflowPunct/>
              <w:topLinePunct w:val="0"/>
              <w:autoSpaceDE/>
              <w:autoSpaceDN/>
              <w:bidi w:val="0"/>
              <w:adjustRightInd/>
              <w:spacing w:before="0" w:beforeAutospacing="0" w:line="240" w:lineRule="auto"/>
              <w:jc w:val="both"/>
              <w:textAlignment w:val="auto"/>
              <w:rPr>
                <w:rFonts w:ascii="宋体" w:hAnsi="宋体" w:cs="华文宋体"/>
                <w:color w:val="000000"/>
                <w:kern w:val="0"/>
                <w:szCs w:val="24"/>
              </w:rPr>
            </w:pPr>
            <w:r>
              <w:rPr>
                <w:rFonts w:ascii="宋体" w:hAnsi="宋体" w:cs="华文宋体"/>
                <w:color w:val="000000"/>
                <w:kern w:val="0"/>
                <w:szCs w:val="24"/>
              </w:rPr>
              <w:t>甲方（盖章）：</w:t>
            </w:r>
          </w:p>
        </w:tc>
        <w:tc>
          <w:tcPr>
            <w:tcW w:w="2500" w:type="pct"/>
            <w:noWrap w:val="0"/>
            <w:vAlign w:val="top"/>
          </w:tcPr>
          <w:p>
            <w:pPr>
              <w:pStyle w:val="13"/>
              <w:keepNext w:val="0"/>
              <w:keepLines w:val="0"/>
              <w:pageBreakBefore w:val="0"/>
              <w:widowControl w:val="0"/>
              <w:kinsoku/>
              <w:wordWrap w:val="0"/>
              <w:overflowPunct/>
              <w:topLinePunct w:val="0"/>
              <w:autoSpaceDE/>
              <w:autoSpaceDN/>
              <w:bidi w:val="0"/>
              <w:adjustRightInd/>
              <w:spacing w:before="0" w:beforeAutospacing="0" w:line="240" w:lineRule="auto"/>
              <w:jc w:val="both"/>
              <w:textAlignment w:val="auto"/>
              <w:rPr>
                <w:rFonts w:ascii="宋体" w:hAnsi="宋体" w:cs="华文宋体"/>
                <w:color w:val="000000"/>
                <w:kern w:val="0"/>
                <w:szCs w:val="24"/>
              </w:rPr>
            </w:pPr>
            <w:r>
              <w:rPr>
                <w:rFonts w:ascii="宋体" w:hAnsi="宋体" w:cs="华文宋体"/>
                <w:color w:val="000000"/>
                <w:kern w:val="0"/>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noWrap w:val="0"/>
            <w:vAlign w:val="top"/>
          </w:tcPr>
          <w:p>
            <w:pPr>
              <w:pStyle w:val="13"/>
              <w:keepNext w:val="0"/>
              <w:keepLines w:val="0"/>
              <w:pageBreakBefore w:val="0"/>
              <w:widowControl w:val="0"/>
              <w:kinsoku/>
              <w:wordWrap w:val="0"/>
              <w:overflowPunct/>
              <w:topLinePunct w:val="0"/>
              <w:autoSpaceDE/>
              <w:autoSpaceDN/>
              <w:bidi w:val="0"/>
              <w:adjustRightInd/>
              <w:spacing w:before="0" w:beforeAutospacing="0" w:line="240" w:lineRule="auto"/>
              <w:jc w:val="both"/>
              <w:textAlignment w:val="auto"/>
              <w:rPr>
                <w:rFonts w:ascii="宋体" w:hAnsi="宋体" w:cs="华文宋体"/>
                <w:color w:val="000000"/>
                <w:kern w:val="0"/>
                <w:szCs w:val="24"/>
              </w:rPr>
            </w:pPr>
            <w:r>
              <w:rPr>
                <w:rFonts w:hint="eastAsia" w:ascii="宋体" w:hAnsi="宋体" w:cs="华文宋体"/>
                <w:color w:val="000000"/>
                <w:kern w:val="0"/>
                <w:szCs w:val="24"/>
              </w:rPr>
              <w:t>签订</w:t>
            </w:r>
            <w:r>
              <w:rPr>
                <w:rFonts w:ascii="宋体" w:hAnsi="宋体" w:cs="华文宋体"/>
                <w:color w:val="000000"/>
                <w:kern w:val="0"/>
                <w:szCs w:val="24"/>
              </w:rPr>
              <w:t>时间：</w:t>
            </w:r>
            <w:r>
              <w:rPr>
                <w:rFonts w:hint="eastAsia" w:ascii="宋体" w:hAnsi="宋体"/>
                <w:color w:val="000000"/>
                <w:kern w:val="0"/>
                <w:u w:val="single"/>
              </w:rPr>
              <w:t xml:space="preserve">   </w:t>
            </w:r>
            <w:r>
              <w:rPr>
                <w:rFonts w:hint="eastAsia" w:ascii="宋体" w:hAnsi="宋体"/>
                <w:color w:val="000000"/>
                <w:kern w:val="0"/>
                <w:u w:val="single"/>
                <w:lang w:val="en-US" w:eastAsia="zh-CN"/>
              </w:rPr>
              <w:t xml:space="preserve"> 年  月  日</w:t>
            </w:r>
            <w:r>
              <w:rPr>
                <w:rFonts w:hint="eastAsia" w:ascii="宋体" w:hAnsi="宋体"/>
                <w:color w:val="000000"/>
                <w:kern w:val="0"/>
                <w:u w:val="single"/>
              </w:rPr>
              <w:t xml:space="preserve">          </w:t>
            </w:r>
          </w:p>
        </w:tc>
        <w:tc>
          <w:tcPr>
            <w:tcW w:w="2500" w:type="pct"/>
            <w:noWrap w:val="0"/>
            <w:vAlign w:val="top"/>
          </w:tcPr>
          <w:p>
            <w:pPr>
              <w:pStyle w:val="13"/>
              <w:keepNext w:val="0"/>
              <w:keepLines w:val="0"/>
              <w:pageBreakBefore w:val="0"/>
              <w:widowControl w:val="0"/>
              <w:kinsoku/>
              <w:wordWrap w:val="0"/>
              <w:overflowPunct/>
              <w:topLinePunct w:val="0"/>
              <w:autoSpaceDE/>
              <w:autoSpaceDN/>
              <w:bidi w:val="0"/>
              <w:adjustRightInd/>
              <w:spacing w:before="0" w:beforeAutospacing="0" w:line="240" w:lineRule="auto"/>
              <w:jc w:val="both"/>
              <w:textAlignment w:val="auto"/>
              <w:rPr>
                <w:rFonts w:ascii="宋体" w:hAnsi="宋体" w:cs="华文宋体"/>
                <w:color w:val="000000"/>
                <w:kern w:val="0"/>
                <w:szCs w:val="24"/>
              </w:rPr>
            </w:pPr>
            <w:r>
              <w:rPr>
                <w:rFonts w:hint="eastAsia" w:ascii="宋体" w:hAnsi="宋体" w:cs="华文宋体"/>
                <w:color w:val="000000"/>
                <w:kern w:val="0"/>
                <w:szCs w:val="24"/>
              </w:rPr>
              <w:t>签订</w:t>
            </w:r>
            <w:r>
              <w:rPr>
                <w:rFonts w:ascii="宋体" w:hAnsi="宋体" w:cs="华文宋体"/>
                <w:color w:val="000000"/>
                <w:kern w:val="0"/>
                <w:szCs w:val="24"/>
              </w:rPr>
              <w:t>时间：</w:t>
            </w:r>
            <w:r>
              <w:rPr>
                <w:rFonts w:hint="eastAsia" w:ascii="宋体" w:hAnsi="宋体"/>
                <w:color w:val="000000"/>
                <w:kern w:val="0"/>
                <w:u w:val="single"/>
              </w:rPr>
              <w:t xml:space="preserve">    </w:t>
            </w:r>
            <w:r>
              <w:rPr>
                <w:rFonts w:hint="eastAsia" w:ascii="宋体" w:hAnsi="宋体"/>
                <w:color w:val="000000"/>
                <w:kern w:val="0"/>
                <w:u w:val="single"/>
                <w:lang w:val="en-US" w:eastAsia="zh-CN"/>
              </w:rPr>
              <w:t xml:space="preserve"> 年  月  日</w:t>
            </w:r>
            <w:r>
              <w:rPr>
                <w:rFonts w:hint="eastAsia" w:ascii="宋体" w:hAnsi="宋体"/>
                <w:color w:val="000000"/>
                <w:kern w:val="0"/>
                <w:u w:val="single"/>
              </w:rPr>
              <w:t xml:space="preserve">         </w:t>
            </w:r>
          </w:p>
        </w:tc>
      </w:tr>
    </w:tbl>
    <w:p>
      <w:pPr>
        <w:spacing w:line="300" w:lineRule="auto"/>
        <w:rPr>
          <w:rFonts w:ascii="Times New Roman" w:hAnsi="Times New Roman"/>
          <w:color w:val="000000"/>
        </w:rPr>
      </w:pPr>
    </w:p>
    <w:p>
      <w:pPr>
        <w:rPr>
          <w:color w:val="000000"/>
          <w:sz w:val="36"/>
          <w:szCs w:val="36"/>
        </w:rPr>
      </w:pPr>
      <w:r>
        <w:rPr>
          <w:color w:val="000000"/>
        </w:rPr>
        <w:br w:type="page"/>
      </w:r>
      <w:bookmarkEnd w:id="126"/>
    </w:p>
    <w:p>
      <w:pPr>
        <w:pStyle w:val="21"/>
        <w:widowControl/>
        <w:spacing w:beforeLines="0" w:line="300" w:lineRule="auto"/>
        <w:rPr>
          <w:color w:val="000000"/>
          <w:sz w:val="36"/>
          <w:szCs w:val="36"/>
        </w:rPr>
      </w:pPr>
      <w:r>
        <w:rPr>
          <w:rFonts w:hint="eastAsia"/>
          <w:color w:val="000000"/>
          <w:sz w:val="36"/>
          <w:szCs w:val="36"/>
        </w:rPr>
        <w:t>第</w:t>
      </w:r>
      <w:r>
        <w:rPr>
          <w:rFonts w:hint="eastAsia"/>
          <w:color w:val="000000"/>
          <w:sz w:val="36"/>
          <w:szCs w:val="36"/>
          <w:lang w:val="en-US" w:eastAsia="zh-CN"/>
        </w:rPr>
        <w:t>五</w:t>
      </w:r>
      <w:r>
        <w:rPr>
          <w:rFonts w:hint="eastAsia"/>
          <w:color w:val="000000"/>
          <w:sz w:val="36"/>
          <w:szCs w:val="36"/>
        </w:rPr>
        <w:t>章</w:t>
      </w:r>
      <w:r>
        <w:rPr>
          <w:color w:val="000000"/>
          <w:sz w:val="36"/>
          <w:szCs w:val="36"/>
        </w:rPr>
        <w:t xml:space="preserve"> </w:t>
      </w:r>
      <w:r>
        <w:rPr>
          <w:rFonts w:hint="eastAsia"/>
          <w:color w:val="000000"/>
          <w:sz w:val="36"/>
          <w:szCs w:val="36"/>
        </w:rPr>
        <w:t>响应文件格式及内容</w:t>
      </w:r>
    </w:p>
    <w:p>
      <w:pPr>
        <w:autoSpaceDE w:val="0"/>
        <w:autoSpaceDN w:val="0"/>
        <w:adjustRightInd w:val="0"/>
        <w:spacing w:line="300" w:lineRule="auto"/>
        <w:ind w:firstLine="3360" w:firstLineChars="1400"/>
        <w:rPr>
          <w:rFonts w:ascii="Times New Roman" w:hAnsi="Times New Roman" w:eastAsia="黑体"/>
          <w:color w:val="000000"/>
          <w:shd w:val="clear" w:color="auto" w:fill="FFFFFF"/>
        </w:rPr>
      </w:pPr>
    </w:p>
    <w:p>
      <w:pPr>
        <w:spacing w:line="300" w:lineRule="auto"/>
        <w:rPr>
          <w:rFonts w:ascii="Times New Roman" w:hAnsi="Times New Roman"/>
          <w:color w:val="000000"/>
          <w:szCs w:val="21"/>
        </w:rPr>
      </w:pPr>
    </w:p>
    <w:p>
      <w:pPr>
        <w:spacing w:line="300" w:lineRule="auto"/>
        <w:jc w:val="center"/>
        <w:rPr>
          <w:rFonts w:hint="default" w:ascii="Times New Roman" w:hAnsi="Times New Roman" w:eastAsia="黑体"/>
          <w:color w:val="000000"/>
          <w:sz w:val="36"/>
          <w:szCs w:val="36"/>
          <w:lang w:val="en-US"/>
        </w:rPr>
      </w:pPr>
      <w:r>
        <w:rPr>
          <w:rFonts w:hint="eastAsia" w:ascii="Times New Roman" w:hAnsi="Times New Roman" w:eastAsia="黑体"/>
          <w:color w:val="000000"/>
          <w:sz w:val="36"/>
          <w:szCs w:val="36"/>
          <w:u w:val="single"/>
          <w:lang w:val="en-US" w:eastAsia="zh-CN"/>
        </w:rPr>
        <w:t>滚筒筛隐患整改项目</w:t>
      </w:r>
    </w:p>
    <w:p>
      <w:pPr>
        <w:spacing w:line="300" w:lineRule="auto"/>
        <w:rPr>
          <w:rFonts w:ascii="Times New Roman" w:hAnsi="Times New Roman"/>
          <w:b/>
          <w:color w:val="000000"/>
          <w:szCs w:val="21"/>
        </w:rPr>
      </w:pPr>
    </w:p>
    <w:p>
      <w:pPr>
        <w:spacing w:line="300" w:lineRule="auto"/>
        <w:jc w:val="center"/>
        <w:rPr>
          <w:rFonts w:hint="eastAsia" w:ascii="Times New Roman" w:hAnsi="Times New Roman" w:eastAsia="宋体"/>
          <w:b/>
          <w:color w:val="000000"/>
          <w:szCs w:val="21"/>
          <w:lang w:val="en-US" w:eastAsia="zh-CN"/>
        </w:rPr>
      </w:pPr>
      <w:r>
        <w:rPr>
          <w:rFonts w:hint="eastAsia" w:ascii="Times New Roman" w:hAnsi="Times New Roman"/>
          <w:b/>
          <w:color w:val="000000"/>
          <w:szCs w:val="21"/>
          <w:lang w:val="en-US" w:eastAsia="zh-CN"/>
        </w:rPr>
        <w:t>项目编号：</w:t>
      </w:r>
    </w:p>
    <w:p>
      <w:pPr>
        <w:spacing w:line="300" w:lineRule="auto"/>
        <w:rPr>
          <w:rFonts w:ascii="Times New Roman" w:hAnsi="Times New Roman"/>
          <w:b/>
          <w:color w:val="000000"/>
          <w:szCs w:val="21"/>
        </w:rPr>
      </w:pPr>
    </w:p>
    <w:p>
      <w:pPr>
        <w:spacing w:line="300" w:lineRule="auto"/>
        <w:rPr>
          <w:rFonts w:ascii="Times New Roman" w:hAnsi="Times New Roman"/>
          <w:b/>
          <w:color w:val="000000"/>
          <w:szCs w:val="21"/>
        </w:rPr>
      </w:pPr>
    </w:p>
    <w:p>
      <w:pPr>
        <w:spacing w:line="300" w:lineRule="auto"/>
        <w:rPr>
          <w:rFonts w:ascii="Times New Roman" w:hAnsi="Times New Roman"/>
          <w:b/>
          <w:color w:val="000000"/>
          <w:szCs w:val="21"/>
        </w:rPr>
      </w:pPr>
    </w:p>
    <w:p>
      <w:pPr>
        <w:spacing w:line="300" w:lineRule="auto"/>
        <w:rPr>
          <w:rFonts w:ascii="Times New Roman" w:hAnsi="Times New Roman"/>
          <w:b/>
          <w:color w:val="000000"/>
          <w:szCs w:val="21"/>
        </w:rPr>
      </w:pPr>
    </w:p>
    <w:p>
      <w:pPr>
        <w:spacing w:line="300" w:lineRule="auto"/>
        <w:jc w:val="center"/>
        <w:rPr>
          <w:rFonts w:ascii="Times New Roman" w:hAnsi="Times New Roman" w:eastAsia="黑体"/>
          <w:color w:val="000000"/>
          <w:sz w:val="36"/>
          <w:szCs w:val="36"/>
        </w:rPr>
      </w:pPr>
      <w:r>
        <w:rPr>
          <w:rFonts w:hint="eastAsia" w:ascii="Times New Roman" w:hAnsi="Times New Roman" w:eastAsia="黑体"/>
          <w:color w:val="000000"/>
          <w:sz w:val="36"/>
          <w:szCs w:val="36"/>
        </w:rPr>
        <w:t>响应文件</w:t>
      </w:r>
    </w:p>
    <w:p>
      <w:pPr>
        <w:spacing w:line="300" w:lineRule="auto"/>
        <w:rPr>
          <w:rFonts w:ascii="Times New Roman" w:hAnsi="Times New Roman"/>
          <w:b/>
          <w:color w:val="000000"/>
          <w:szCs w:val="21"/>
        </w:rPr>
      </w:pP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p>
    <w:p>
      <w:pPr>
        <w:spacing w:line="300" w:lineRule="auto"/>
        <w:ind w:firstLine="140" w:firstLineChars="50"/>
        <w:rPr>
          <w:rFonts w:ascii="Times New Roman" w:hAnsi="Times New Roman" w:eastAsia="黑体"/>
          <w:color w:val="000000"/>
          <w:sz w:val="28"/>
          <w:szCs w:val="28"/>
          <w:u w:val="single"/>
        </w:rPr>
      </w:pPr>
      <w:r>
        <w:rPr>
          <w:rFonts w:hint="eastAsia" w:ascii="Times New Roman" w:hAnsi="Times New Roman" w:eastAsia="黑体"/>
          <w:color w:val="000000"/>
          <w:sz w:val="28"/>
          <w:szCs w:val="28"/>
        </w:rPr>
        <w:t>供应商：（盖单位公章）</w:t>
      </w:r>
    </w:p>
    <w:p>
      <w:pPr>
        <w:spacing w:line="300" w:lineRule="auto"/>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法定代表人或其委托代理人：</w:t>
      </w:r>
      <w:r>
        <w:rPr>
          <w:rFonts w:ascii="Times New Roman" w:hAnsi="Times New Roman" w:eastAsia="黑体"/>
          <w:color w:val="000000"/>
          <w:sz w:val="28"/>
          <w:szCs w:val="28"/>
          <w:u w:val="single"/>
        </w:rPr>
        <w:t xml:space="preserve">                    </w:t>
      </w:r>
      <w:r>
        <w:rPr>
          <w:rFonts w:hint="eastAsia" w:ascii="Times New Roman" w:hAnsi="Times New Roman" w:eastAsia="黑体"/>
          <w:color w:val="000000"/>
          <w:sz w:val="28"/>
          <w:szCs w:val="28"/>
        </w:rPr>
        <w:t>（签字或盖章）</w:t>
      </w:r>
    </w:p>
    <w:p>
      <w:pPr>
        <w:spacing w:line="300" w:lineRule="auto"/>
        <w:jc w:val="center"/>
        <w:rPr>
          <w:rFonts w:ascii="Times New Roman" w:hAnsi="Times New Roman" w:eastAsia="黑体"/>
          <w:color w:val="000000"/>
          <w:sz w:val="28"/>
          <w:szCs w:val="28"/>
          <w:u w:val="single"/>
        </w:rPr>
      </w:pPr>
    </w:p>
    <w:p>
      <w:pPr>
        <w:spacing w:line="300" w:lineRule="auto"/>
        <w:jc w:val="center"/>
        <w:rPr>
          <w:rFonts w:hint="eastAsia" w:ascii="Times New Roman" w:hAnsi="Times New Roman" w:eastAsia="黑体"/>
          <w:color w:val="000000"/>
          <w:sz w:val="28"/>
          <w:szCs w:val="28"/>
          <w:lang w:val="en-US" w:eastAsia="zh-CN"/>
        </w:rPr>
        <w:sectPr>
          <w:footerReference r:id="rId5" w:type="default"/>
          <w:footerReference r:id="rId6" w:type="even"/>
          <w:pgSz w:w="11906" w:h="16838"/>
          <w:pgMar w:top="1418" w:right="1644" w:bottom="1247" w:left="1644" w:header="851" w:footer="992" w:gutter="0"/>
          <w:cols w:space="720" w:num="1"/>
          <w:docGrid w:type="lines" w:linePitch="312" w:charSpace="0"/>
        </w:sectPr>
      </w:pPr>
      <w:r>
        <w:rPr>
          <w:rFonts w:hint="eastAsia" w:ascii="Times New Roman" w:hAnsi="Times New Roman" w:eastAsia="黑体"/>
          <w:color w:val="000000"/>
          <w:sz w:val="28"/>
          <w:szCs w:val="28"/>
          <w:u w:val="single"/>
          <w:lang w:val="en-US" w:eastAsia="zh-CN"/>
        </w:rPr>
        <w:t>2024</w:t>
      </w:r>
      <w:r>
        <w:rPr>
          <w:rFonts w:hint="eastAsia" w:ascii="Times New Roman" w:hAnsi="Times New Roman" w:eastAsia="黑体"/>
          <w:color w:val="000000"/>
          <w:sz w:val="28"/>
          <w:szCs w:val="28"/>
        </w:rPr>
        <w:t>年</w:t>
      </w:r>
      <w:r>
        <w:rPr>
          <w:rFonts w:hint="eastAsia" w:ascii="Times New Roman" w:hAnsi="Times New Roman" w:eastAsia="黑体"/>
          <w:color w:val="000000"/>
          <w:sz w:val="28"/>
          <w:szCs w:val="28"/>
          <w:lang w:val="en-US" w:eastAsia="zh-CN"/>
        </w:rPr>
        <w:t xml:space="preserve">  </w:t>
      </w:r>
      <w:r>
        <w:rPr>
          <w:rFonts w:hint="eastAsia" w:ascii="Times New Roman" w:hAnsi="Times New Roman" w:eastAsia="黑体"/>
          <w:color w:val="000000"/>
          <w:sz w:val="28"/>
          <w:szCs w:val="28"/>
        </w:rPr>
        <w:t>月</w:t>
      </w:r>
      <w:r>
        <w:rPr>
          <w:rFonts w:hint="eastAsia" w:ascii="Times New Roman" w:hAnsi="Times New Roman" w:eastAsia="黑体"/>
          <w:color w:val="000000"/>
          <w:sz w:val="28"/>
          <w:szCs w:val="28"/>
          <w:lang w:val="en-US" w:eastAsia="zh-CN"/>
        </w:rPr>
        <w:t xml:space="preserve">  </w:t>
      </w:r>
      <w:r>
        <w:rPr>
          <w:rFonts w:hint="eastAsia" w:ascii="Times New Roman" w:hAnsi="Times New Roman" w:eastAsia="黑体"/>
          <w:color w:val="000000"/>
          <w:sz w:val="28"/>
          <w:szCs w:val="28"/>
          <w:u w:val="none"/>
          <w:lang w:val="en-US" w:eastAsia="zh-CN"/>
        </w:rPr>
        <w:t>日</w:t>
      </w:r>
    </w:p>
    <w:p>
      <w:pPr>
        <w:spacing w:line="300" w:lineRule="auto"/>
        <w:jc w:val="center"/>
        <w:rPr>
          <w:rFonts w:ascii="Times New Roman" w:hAnsi="Times New Roman"/>
          <w:b/>
          <w:color w:val="000000"/>
        </w:rPr>
      </w:pPr>
    </w:p>
    <w:p>
      <w:pPr>
        <w:spacing w:line="300" w:lineRule="auto"/>
        <w:rPr>
          <w:rFonts w:ascii="Times New Roman" w:hAnsi="Times New Roman"/>
          <w:color w:val="000000"/>
          <w:szCs w:val="21"/>
        </w:rPr>
      </w:pPr>
      <w:r>
        <w:rPr>
          <w:rFonts w:hint="eastAsia" w:ascii="Times New Roman" w:hAnsi="Times New Roman"/>
          <w:color w:val="000000"/>
          <w:szCs w:val="21"/>
          <w:u w:val="single"/>
          <w:lang w:val="en-US" w:eastAsia="zh-CN"/>
        </w:rPr>
        <w:t>济南黄河爆破工程有限责任公司</w:t>
      </w:r>
      <w:r>
        <w:rPr>
          <w:rFonts w:ascii="Times New Roman" w:hAnsi="Times New Roman"/>
          <w:color w:val="000000"/>
          <w:szCs w:val="21"/>
        </w:rPr>
        <w:t>（招标人名称）：</w:t>
      </w:r>
    </w:p>
    <w:p>
      <w:pPr>
        <w:spacing w:line="300" w:lineRule="auto"/>
        <w:ind w:firstLine="480" w:firstLineChars="200"/>
        <w:rPr>
          <w:rFonts w:ascii="Times New Roman" w:hAnsi="Times New Roman"/>
          <w:color w:val="000000"/>
          <w:szCs w:val="21"/>
        </w:rPr>
      </w:pPr>
      <w:r>
        <w:rPr>
          <w:rFonts w:ascii="Times New Roman" w:hAnsi="Times New Roman"/>
          <w:color w:val="000000"/>
          <w:szCs w:val="21"/>
        </w:rPr>
        <w:t>1．我方已仔细研究了</w:t>
      </w:r>
      <w:r>
        <w:rPr>
          <w:rFonts w:hint="eastAsia" w:ascii="Times New Roman" w:hAnsi="Times New Roman"/>
          <w:color w:val="000000"/>
          <w:szCs w:val="21"/>
          <w:u w:val="single"/>
          <w:lang w:val="en-US" w:eastAsia="zh-CN"/>
        </w:rPr>
        <w:t xml:space="preserve">          </w:t>
      </w:r>
      <w:r>
        <w:rPr>
          <w:rFonts w:ascii="Times New Roman" w:hAnsi="Times New Roman"/>
          <w:color w:val="000000"/>
          <w:szCs w:val="21"/>
        </w:rPr>
        <w:t>（项目名称）招标文件的全部内容，愿意以人民币（大写）</w:t>
      </w:r>
      <w:r>
        <w:rPr>
          <w:rFonts w:hint="eastAsia" w:ascii="Times New Roman" w:hAnsi="Times New Roman"/>
          <w:color w:val="000000"/>
          <w:szCs w:val="21"/>
          <w:u w:val="single"/>
          <w:lang w:val="en-US" w:eastAsia="zh-CN"/>
        </w:rPr>
        <w:t xml:space="preserve">          </w:t>
      </w:r>
      <w:r>
        <w:rPr>
          <w:rFonts w:ascii="Times New Roman" w:hAnsi="Times New Roman"/>
          <w:color w:val="000000"/>
          <w:szCs w:val="21"/>
        </w:rPr>
        <w:t>（¥</w:t>
      </w:r>
      <w:r>
        <w:rPr>
          <w:rFonts w:hint="eastAsia" w:ascii="Times New Roman" w:hAnsi="Times New Roman"/>
          <w:color w:val="000000"/>
          <w:szCs w:val="21"/>
          <w:u w:val="single"/>
          <w:lang w:val="en-US" w:eastAsia="zh-CN"/>
        </w:rPr>
        <w:t xml:space="preserve">      </w:t>
      </w:r>
      <w:r>
        <w:rPr>
          <w:rFonts w:ascii="Times New Roman" w:hAnsi="Times New Roman"/>
          <w:color w:val="000000"/>
          <w:szCs w:val="21"/>
        </w:rPr>
        <w:t>）的总报价，工期</w:t>
      </w:r>
      <w:r>
        <w:rPr>
          <w:rFonts w:hint="eastAsia" w:ascii="Times New Roman" w:hAnsi="Times New Roman"/>
          <w:color w:val="000000"/>
          <w:szCs w:val="21"/>
          <w:lang w:val="en-US" w:eastAsia="zh-CN"/>
        </w:rPr>
        <w:t xml:space="preserve"> </w:t>
      </w:r>
      <w:r>
        <w:rPr>
          <w:rFonts w:hint="eastAsia" w:ascii="Times New Roman" w:hAnsi="Times New Roman"/>
          <w:color w:val="000000"/>
          <w:szCs w:val="21"/>
          <w:u w:val="single"/>
          <w:lang w:val="en-US" w:eastAsia="zh-CN"/>
        </w:rPr>
        <w:t xml:space="preserve">  </w:t>
      </w:r>
      <w:r>
        <w:rPr>
          <w:rFonts w:ascii="Times New Roman" w:hAnsi="Times New Roman"/>
          <w:color w:val="000000"/>
          <w:szCs w:val="21"/>
        </w:rPr>
        <w:t xml:space="preserve"> 日历天，按合同约定实施和完成承包工程，修补工程中的任何缺陷，工程质量达到</w:t>
      </w:r>
      <w:r>
        <w:rPr>
          <w:rFonts w:hint="eastAsia" w:ascii="Times New Roman" w:hAnsi="Times New Roman"/>
          <w:color w:val="000000"/>
          <w:szCs w:val="21"/>
          <w:u w:val="single"/>
          <w:lang w:val="en-US" w:eastAsia="zh-CN"/>
        </w:rPr>
        <w:t xml:space="preserve">  </w:t>
      </w:r>
      <w:r>
        <w:rPr>
          <w:rFonts w:ascii="Times New Roman" w:hAnsi="Times New Roman"/>
          <w:color w:val="000000"/>
          <w:szCs w:val="21"/>
        </w:rPr>
        <w:t>。</w:t>
      </w:r>
    </w:p>
    <w:p>
      <w:pPr>
        <w:spacing w:line="300" w:lineRule="auto"/>
        <w:ind w:firstLine="480" w:firstLineChars="200"/>
        <w:rPr>
          <w:rFonts w:ascii="Times New Roman" w:hAnsi="Times New Roman"/>
          <w:color w:val="000000"/>
          <w:szCs w:val="21"/>
        </w:rPr>
      </w:pPr>
      <w:r>
        <w:rPr>
          <w:rFonts w:ascii="Times New Roman" w:hAnsi="Times New Roman"/>
          <w:color w:val="000000"/>
          <w:szCs w:val="21"/>
        </w:rPr>
        <w:t>2．我方承诺在招标文件规定的投标有效期内不修改、撤销投标文件。</w:t>
      </w:r>
    </w:p>
    <w:p>
      <w:pPr>
        <w:spacing w:line="300" w:lineRule="auto"/>
        <w:ind w:firstLine="480" w:firstLineChars="200"/>
        <w:rPr>
          <w:rFonts w:ascii="Times New Roman" w:hAnsi="Times New Roman"/>
          <w:color w:val="000000"/>
          <w:szCs w:val="21"/>
        </w:rPr>
      </w:pPr>
      <w:r>
        <w:rPr>
          <w:rFonts w:hint="eastAsia" w:ascii="Times New Roman" w:hAnsi="Times New Roman"/>
          <w:color w:val="000000"/>
          <w:szCs w:val="21"/>
          <w:lang w:val="en-US" w:eastAsia="zh-CN"/>
        </w:rPr>
        <w:t>3</w:t>
      </w:r>
      <w:r>
        <w:rPr>
          <w:rFonts w:ascii="Times New Roman" w:hAnsi="Times New Roman"/>
          <w:color w:val="000000"/>
          <w:szCs w:val="21"/>
        </w:rPr>
        <w:t>．如我方中标：</w:t>
      </w:r>
    </w:p>
    <w:p>
      <w:pPr>
        <w:spacing w:line="300" w:lineRule="auto"/>
        <w:ind w:firstLine="820" w:firstLineChars="342"/>
        <w:rPr>
          <w:rFonts w:ascii="Times New Roman" w:hAnsi="Times New Roman"/>
          <w:color w:val="000000"/>
          <w:szCs w:val="21"/>
        </w:rPr>
      </w:pPr>
      <w:r>
        <w:rPr>
          <w:rFonts w:ascii="Times New Roman" w:hAnsi="Times New Roman"/>
          <w:color w:val="000000"/>
          <w:szCs w:val="21"/>
        </w:rPr>
        <w:t>（1）我方承诺在收到成交候选人后，在成交候选人规定的期限内与你方签订合同。</w:t>
      </w:r>
    </w:p>
    <w:p>
      <w:pPr>
        <w:spacing w:line="300" w:lineRule="auto"/>
        <w:ind w:firstLine="820" w:firstLineChars="342"/>
        <w:rPr>
          <w:rFonts w:ascii="Times New Roman" w:hAnsi="Times New Roman"/>
          <w:color w:val="000000"/>
          <w:szCs w:val="21"/>
        </w:rPr>
      </w:pPr>
      <w:r>
        <w:rPr>
          <w:rFonts w:ascii="Times New Roman" w:hAnsi="Times New Roman"/>
          <w:color w:val="000000"/>
          <w:szCs w:val="21"/>
        </w:rPr>
        <w:t>（2）随同本投标函递交的投标函附录属于合同文件的组成部分。</w:t>
      </w:r>
    </w:p>
    <w:p>
      <w:pPr>
        <w:spacing w:line="300" w:lineRule="auto"/>
        <w:ind w:firstLine="820" w:firstLineChars="342"/>
        <w:rPr>
          <w:rFonts w:ascii="Times New Roman" w:hAnsi="Times New Roman"/>
          <w:color w:val="000000"/>
          <w:szCs w:val="21"/>
        </w:rPr>
      </w:pPr>
      <w:r>
        <w:rPr>
          <w:rFonts w:ascii="Times New Roman" w:hAnsi="Times New Roman"/>
          <w:color w:val="000000"/>
          <w:szCs w:val="21"/>
        </w:rPr>
        <w:t>（3）我方承诺按照招标文件规定向你方递交履约担保。</w:t>
      </w:r>
    </w:p>
    <w:p>
      <w:pPr>
        <w:spacing w:line="300" w:lineRule="auto"/>
        <w:ind w:firstLine="820" w:firstLineChars="342"/>
        <w:rPr>
          <w:rFonts w:ascii="Times New Roman" w:hAnsi="Times New Roman"/>
          <w:color w:val="000000"/>
          <w:szCs w:val="21"/>
        </w:rPr>
      </w:pPr>
      <w:r>
        <w:rPr>
          <w:rFonts w:ascii="Times New Roman" w:hAnsi="Times New Roman"/>
          <w:color w:val="000000"/>
          <w:szCs w:val="21"/>
        </w:rPr>
        <w:t>（4）我方承诺在合同约定的期限内完成并移交全部合同工程。</w:t>
      </w:r>
    </w:p>
    <w:p>
      <w:pPr>
        <w:spacing w:line="300" w:lineRule="auto"/>
        <w:ind w:firstLine="480" w:firstLineChars="200"/>
        <w:rPr>
          <w:rFonts w:ascii="Times New Roman" w:hAnsi="Times New Roman"/>
          <w:color w:val="000000"/>
        </w:rPr>
      </w:pPr>
      <w:r>
        <w:rPr>
          <w:rFonts w:hint="eastAsia" w:ascii="Times New Roman" w:hAnsi="Times New Roman"/>
          <w:color w:val="000000"/>
          <w:szCs w:val="21"/>
          <w:lang w:val="en-US" w:eastAsia="zh-CN"/>
        </w:rPr>
        <w:t>4</w:t>
      </w:r>
      <w:r>
        <w:rPr>
          <w:rFonts w:ascii="Times New Roman" w:hAnsi="Times New Roman"/>
          <w:color w:val="000000"/>
          <w:szCs w:val="21"/>
        </w:rPr>
        <w:t>．</w:t>
      </w:r>
      <w:r>
        <w:rPr>
          <w:rFonts w:ascii="Times New Roman" w:hAnsi="Times New Roman"/>
          <w:color w:val="000000"/>
        </w:rPr>
        <w:t>我方在此声明，所递交的投标文件及有关资料内容完整、真实和准确，且不存在第二章“须知”第1.4.2项和第1.4.3项规定的任何一种情形。</w:t>
      </w:r>
    </w:p>
    <w:p>
      <w:pPr>
        <w:spacing w:line="300" w:lineRule="auto"/>
        <w:ind w:firstLine="480" w:firstLineChars="200"/>
        <w:rPr>
          <w:rFonts w:ascii="Times New Roman" w:hAnsi="Times New Roman"/>
          <w:color w:val="000000"/>
          <w:szCs w:val="21"/>
        </w:rPr>
      </w:pPr>
      <w:r>
        <w:rPr>
          <w:rFonts w:hint="eastAsia" w:ascii="Times New Roman" w:hAnsi="Times New Roman"/>
          <w:color w:val="000000"/>
          <w:lang w:val="en-US" w:eastAsia="zh-CN"/>
        </w:rPr>
        <w:t>5</w:t>
      </w:r>
      <w:r>
        <w:rPr>
          <w:rFonts w:ascii="Times New Roman" w:hAnsi="Times New Roman"/>
          <w:color w:val="000000"/>
        </w:rPr>
        <w:t>.</w:t>
      </w:r>
      <w:r>
        <w:rPr>
          <w:rFonts w:ascii="Times New Roman" w:hAnsi="Times New Roman" w:eastAsia="仿宋_GB2312"/>
          <w:color w:val="000000"/>
          <w:sz w:val="28"/>
        </w:rPr>
        <w:t xml:space="preserve"> </w:t>
      </w:r>
      <w:r>
        <w:rPr>
          <w:rFonts w:ascii="Times New Roman" w:hAnsi="Times New Roman"/>
          <w:color w:val="000000"/>
        </w:rPr>
        <w:t>我方承诺参加投标活动近三年内无违法犯罪及其它不良行为记录，如有经行政主管部门查实或通报的不良记录，我方放弃本次项目投标权利，并无条件承担相应后果和损失。</w:t>
      </w:r>
    </w:p>
    <w:p>
      <w:pPr>
        <w:spacing w:line="300" w:lineRule="auto"/>
        <w:rPr>
          <w:rFonts w:ascii="Times New Roman" w:hAnsi="Times New Roman"/>
          <w:color w:val="000000"/>
          <w:szCs w:val="21"/>
        </w:rPr>
      </w:pPr>
      <w:r>
        <w:rPr>
          <w:rFonts w:ascii="Times New Roman" w:hAnsi="Times New Roman"/>
          <w:color w:val="000000"/>
          <w:szCs w:val="21"/>
        </w:rPr>
        <w:t>投标单位：</w:t>
      </w:r>
      <w:r>
        <w:rPr>
          <w:rFonts w:ascii="Times New Roman" w:hAnsi="Times New Roman"/>
          <w:color w:val="000000"/>
          <w:szCs w:val="21"/>
          <w:u w:val="single"/>
        </w:rPr>
        <w:t xml:space="preserve">                      </w:t>
      </w:r>
      <w:r>
        <w:rPr>
          <w:rFonts w:ascii="Times New Roman" w:hAnsi="Times New Roman"/>
          <w:color w:val="000000"/>
          <w:szCs w:val="21"/>
        </w:rPr>
        <w:t>（盖单位章）</w:t>
      </w:r>
    </w:p>
    <w:p>
      <w:pPr>
        <w:spacing w:line="300" w:lineRule="auto"/>
        <w:rPr>
          <w:rFonts w:ascii="Times New Roman" w:hAnsi="Times New Roman"/>
          <w:color w:val="000000"/>
          <w:szCs w:val="21"/>
        </w:rPr>
      </w:pPr>
      <w:r>
        <w:rPr>
          <w:rFonts w:ascii="Times New Roman" w:hAnsi="Times New Roman"/>
          <w:color w:val="000000"/>
          <w:szCs w:val="21"/>
        </w:rPr>
        <w:t>法定代表人：</w:t>
      </w:r>
      <w:r>
        <w:rPr>
          <w:rFonts w:ascii="Times New Roman" w:hAnsi="Times New Roman"/>
          <w:color w:val="000000"/>
          <w:szCs w:val="21"/>
          <w:u w:val="single"/>
        </w:rPr>
        <w:t xml:space="preserve">                    </w:t>
      </w:r>
      <w:r>
        <w:rPr>
          <w:rFonts w:ascii="Times New Roman" w:hAnsi="Times New Roman"/>
          <w:color w:val="000000"/>
          <w:szCs w:val="21"/>
        </w:rPr>
        <w:t>（签字</w:t>
      </w:r>
      <w:r>
        <w:rPr>
          <w:rFonts w:hint="eastAsia" w:ascii="Times New Roman" w:hAnsi="Times New Roman"/>
          <w:color w:val="000000"/>
          <w:szCs w:val="21"/>
          <w:lang w:val="en-US" w:eastAsia="zh-CN"/>
        </w:rPr>
        <w:t>或</w:t>
      </w:r>
      <w:r>
        <w:rPr>
          <w:rFonts w:ascii="Times New Roman" w:hAnsi="Times New Roman"/>
          <w:color w:val="000000"/>
          <w:szCs w:val="21"/>
        </w:rPr>
        <w:t>盖章）</w:t>
      </w:r>
    </w:p>
    <w:p>
      <w:pPr>
        <w:spacing w:line="300" w:lineRule="auto"/>
        <w:rPr>
          <w:rFonts w:ascii="Times New Roman" w:hAnsi="Times New Roman"/>
          <w:color w:val="000000"/>
          <w:szCs w:val="21"/>
        </w:rPr>
      </w:pPr>
      <w:r>
        <w:rPr>
          <w:rFonts w:ascii="Times New Roman" w:hAnsi="Times New Roman"/>
          <w:color w:val="000000"/>
          <w:szCs w:val="21"/>
        </w:rPr>
        <w:t>委托代理人：</w:t>
      </w:r>
      <w:r>
        <w:rPr>
          <w:rFonts w:ascii="Times New Roman" w:hAnsi="Times New Roman"/>
          <w:color w:val="000000"/>
          <w:szCs w:val="21"/>
          <w:u w:val="single"/>
        </w:rPr>
        <w:t xml:space="preserve">                    </w:t>
      </w:r>
      <w:r>
        <w:rPr>
          <w:rFonts w:ascii="Times New Roman" w:hAnsi="Times New Roman"/>
          <w:color w:val="000000"/>
          <w:szCs w:val="21"/>
        </w:rPr>
        <w:t>（签字）</w:t>
      </w:r>
    </w:p>
    <w:p>
      <w:pPr>
        <w:spacing w:line="300" w:lineRule="auto"/>
        <w:rPr>
          <w:rFonts w:hint="default" w:ascii="Times New Roman" w:hAnsi="Times New Roman" w:eastAsia="宋体"/>
          <w:color w:val="000000"/>
          <w:szCs w:val="21"/>
          <w:u w:val="single"/>
          <w:lang w:val="en-US" w:eastAsia="zh-CN"/>
        </w:rPr>
      </w:pPr>
      <w:r>
        <w:rPr>
          <w:rFonts w:ascii="Times New Roman" w:hAnsi="Times New Roman"/>
          <w:color w:val="000000"/>
          <w:szCs w:val="21"/>
        </w:rPr>
        <w:t>地址：</w:t>
      </w:r>
      <w:r>
        <w:rPr>
          <w:rFonts w:hint="eastAsia" w:ascii="Times New Roman" w:hAnsi="Times New Roman"/>
          <w:color w:val="000000"/>
          <w:szCs w:val="21"/>
          <w:u w:val="single"/>
          <w:lang w:val="en-US" w:eastAsia="zh-CN"/>
        </w:rPr>
        <w:t xml:space="preserve">                       </w:t>
      </w:r>
    </w:p>
    <w:p>
      <w:pPr>
        <w:spacing w:line="300" w:lineRule="auto"/>
        <w:rPr>
          <w:rFonts w:hint="default" w:ascii="Times New Roman" w:hAnsi="Times New Roman" w:eastAsia="宋体"/>
          <w:color w:val="000000"/>
          <w:szCs w:val="21"/>
          <w:lang w:val="en-US" w:eastAsia="zh-CN"/>
        </w:rPr>
      </w:pPr>
      <w:r>
        <w:rPr>
          <w:rFonts w:ascii="Times New Roman" w:hAnsi="Times New Roman"/>
          <w:color w:val="000000"/>
          <w:szCs w:val="21"/>
        </w:rPr>
        <w:t>电话：</w:t>
      </w:r>
      <w:r>
        <w:rPr>
          <w:rFonts w:hint="eastAsia" w:ascii="Times New Roman" w:hAnsi="Times New Roman"/>
          <w:color w:val="000000"/>
          <w:szCs w:val="21"/>
          <w:u w:val="single"/>
          <w:lang w:val="en-US" w:eastAsia="zh-CN"/>
        </w:rPr>
        <w:t xml:space="preserve">              </w:t>
      </w:r>
    </w:p>
    <w:p>
      <w:pPr>
        <w:spacing w:line="300" w:lineRule="auto"/>
        <w:rPr>
          <w:rFonts w:ascii="Times New Roman" w:hAnsi="Times New Roman"/>
          <w:color w:val="000000"/>
          <w:szCs w:val="21"/>
        </w:rPr>
      </w:pPr>
      <w:r>
        <w:rPr>
          <w:rFonts w:ascii="Times New Roman" w:hAnsi="Times New Roman"/>
          <w:color w:val="000000"/>
          <w:szCs w:val="21"/>
        </w:rPr>
        <w:t>传真：</w:t>
      </w:r>
      <w:r>
        <w:rPr>
          <w:rFonts w:ascii="Times New Roman" w:hAnsi="Times New Roman"/>
          <w:color w:val="000000"/>
          <w:szCs w:val="21"/>
          <w:u w:val="single"/>
        </w:rPr>
        <w:t xml:space="preserve">                                     </w:t>
      </w:r>
    </w:p>
    <w:p>
      <w:pPr>
        <w:spacing w:line="300" w:lineRule="auto"/>
        <w:rPr>
          <w:rFonts w:hint="default" w:ascii="Times New Roman" w:hAnsi="Times New Roman" w:eastAsia="宋体"/>
          <w:color w:val="000000"/>
          <w:szCs w:val="21"/>
          <w:u w:val="single"/>
          <w:lang w:val="en-US" w:eastAsia="zh-CN"/>
        </w:rPr>
      </w:pPr>
      <w:r>
        <w:rPr>
          <w:rFonts w:ascii="Times New Roman" w:hAnsi="Times New Roman"/>
          <w:color w:val="000000"/>
          <w:szCs w:val="21"/>
        </w:rPr>
        <w:t>邮政编码：</w:t>
      </w:r>
      <w:r>
        <w:rPr>
          <w:rFonts w:hint="eastAsia" w:ascii="Times New Roman" w:hAnsi="Times New Roman"/>
          <w:color w:val="000000"/>
          <w:szCs w:val="21"/>
          <w:u w:val="single"/>
          <w:lang w:val="en-US" w:eastAsia="zh-CN"/>
        </w:rPr>
        <w:t xml:space="preserve">             </w:t>
      </w:r>
    </w:p>
    <w:p>
      <w:pPr>
        <w:spacing w:line="300" w:lineRule="auto"/>
        <w:jc w:val="center"/>
        <w:rPr>
          <w:rFonts w:ascii="Times New Roman" w:hAnsi="Times New Roman"/>
          <w:color w:val="000000"/>
          <w:szCs w:val="21"/>
        </w:rPr>
      </w:pPr>
      <w:r>
        <w:rPr>
          <w:rFonts w:hint="eastAsia" w:ascii="Times New Roman" w:hAnsi="Times New Roman"/>
          <w:color w:val="000000"/>
          <w:szCs w:val="21"/>
          <w:u w:val="single"/>
          <w:lang w:val="en-US" w:eastAsia="zh-CN"/>
        </w:rPr>
        <w:t>2024</w:t>
      </w:r>
      <w:r>
        <w:rPr>
          <w:rFonts w:ascii="Times New Roman" w:hAnsi="Times New Roman"/>
          <w:color w:val="000000"/>
          <w:szCs w:val="21"/>
        </w:rPr>
        <w:t>年</w:t>
      </w:r>
      <w:r>
        <w:rPr>
          <w:rFonts w:hint="eastAsia" w:ascii="Times New Roman" w:hAnsi="Times New Roman"/>
          <w:color w:val="000000"/>
          <w:szCs w:val="21"/>
          <w:u w:val="single"/>
          <w:lang w:val="en-US" w:eastAsia="zh-CN"/>
        </w:rPr>
        <w:t xml:space="preserve">  </w:t>
      </w:r>
      <w:r>
        <w:rPr>
          <w:rFonts w:ascii="Times New Roman" w:hAnsi="Times New Roman"/>
          <w:color w:val="000000"/>
          <w:szCs w:val="21"/>
        </w:rPr>
        <w:t>月</w:t>
      </w:r>
      <w:r>
        <w:rPr>
          <w:rFonts w:hint="eastAsia" w:ascii="Times New Roman" w:hAnsi="Times New Roman"/>
          <w:color w:val="000000"/>
          <w:szCs w:val="21"/>
          <w:u w:val="single"/>
          <w:lang w:val="en-US" w:eastAsia="zh-CN"/>
        </w:rPr>
        <w:t xml:space="preserve">  </w:t>
      </w:r>
      <w:r>
        <w:rPr>
          <w:rFonts w:ascii="Times New Roman" w:hAnsi="Times New Roman"/>
          <w:color w:val="000000"/>
          <w:szCs w:val="21"/>
        </w:rPr>
        <w:t>日</w:t>
      </w:r>
    </w:p>
    <w:p>
      <w:pPr>
        <w:spacing w:line="300" w:lineRule="auto"/>
        <w:ind w:firstLine="5760" w:firstLineChars="2400"/>
        <w:rPr>
          <w:rFonts w:ascii="Times New Roman" w:hAnsi="Times New Roman"/>
          <w:color w:val="000000"/>
          <w:szCs w:val="21"/>
        </w:rPr>
      </w:pPr>
    </w:p>
    <w:p>
      <w:pPr>
        <w:spacing w:line="360" w:lineRule="auto"/>
        <w:ind w:firstLine="400" w:firstLineChars="200"/>
        <w:rPr>
          <w:rFonts w:cs="仿宋"/>
        </w:rPr>
      </w:pPr>
      <w:r>
        <w:rPr>
          <w:rFonts w:ascii="Times New Roman" w:hAnsi="Times New Roman" w:eastAsia="黑体"/>
          <w:color w:val="000000"/>
          <w:sz w:val="20"/>
        </w:rPr>
        <w:br w:type="page"/>
      </w:r>
      <w:r>
        <w:rPr>
          <w:rFonts w:hint="eastAsia" w:cs="仿宋"/>
        </w:rPr>
        <w:t>2、授权委托书</w:t>
      </w:r>
    </w:p>
    <w:p>
      <w:pPr>
        <w:pStyle w:val="2"/>
        <w:spacing w:before="0" w:after="0" w:line="300" w:lineRule="auto"/>
        <w:jc w:val="center"/>
        <w:rPr>
          <w:rFonts w:ascii="Times New Roman" w:hAnsi="Times New Roman" w:eastAsia="黑体"/>
          <w:color w:val="000000"/>
          <w:szCs w:val="21"/>
        </w:rPr>
      </w:pPr>
      <w:r>
        <w:rPr>
          <w:rFonts w:hint="eastAsia" w:ascii="Times New Roman" w:hAnsi="Times New Roman"/>
          <w:b w:val="0"/>
          <w:bCs w:val="0"/>
          <w:color w:val="000000"/>
        </w:rPr>
        <w:t>授权委托书</w:t>
      </w:r>
    </w:p>
    <w:p>
      <w:pPr>
        <w:topLinePunct/>
        <w:spacing w:line="300" w:lineRule="auto"/>
        <w:ind w:firstLine="480" w:firstLineChars="200"/>
        <w:rPr>
          <w:rFonts w:ascii="Times New Roman" w:hAnsi="Times New Roman"/>
          <w:color w:val="000000"/>
          <w:szCs w:val="21"/>
        </w:rPr>
      </w:pPr>
      <w:r>
        <w:rPr>
          <w:rFonts w:hint="eastAsia" w:ascii="Times New Roman" w:hAnsi="Times New Roman"/>
          <w:color w:val="000000"/>
          <w:szCs w:val="21"/>
        </w:rPr>
        <w:t>本人</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（姓名）系</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（名称）的法定代表人，现委托</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（姓名）为我方代理人。代理人根据授权，以我方名义签署、澄清、说明、补正、递交、撤回、修改</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（项目名称）响应文件、签订合同和处理有关事宜，其法律后果由我方承担。</w:t>
      </w:r>
    </w:p>
    <w:p>
      <w:pPr>
        <w:spacing w:line="300" w:lineRule="auto"/>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委托期限：</w:t>
      </w:r>
      <w:r>
        <w:rPr>
          <w:rFonts w:hint="eastAsia" w:ascii="Times New Roman" w:hAnsi="Times New Roman"/>
          <w:color w:val="000000"/>
          <w:szCs w:val="21"/>
          <w:u w:val="single"/>
          <w:lang w:val="en-US" w:eastAsia="zh-CN"/>
        </w:rPr>
        <w:t>90天</w:t>
      </w:r>
      <w:r>
        <w:rPr>
          <w:rFonts w:hint="eastAsia" w:ascii="Times New Roman" w:hAnsi="Times New Roman"/>
          <w:color w:val="000000"/>
          <w:szCs w:val="21"/>
        </w:rPr>
        <w:t>。</w:t>
      </w:r>
    </w:p>
    <w:p>
      <w:pPr>
        <w:spacing w:line="300" w:lineRule="auto"/>
        <w:ind w:firstLine="480" w:firstLineChars="200"/>
        <w:rPr>
          <w:rFonts w:ascii="Times New Roman" w:hAnsi="Times New Roman"/>
          <w:color w:val="000000"/>
          <w:szCs w:val="21"/>
        </w:rPr>
      </w:pPr>
      <w:r>
        <w:rPr>
          <w:rFonts w:hint="eastAsia" w:ascii="Times New Roman" w:hAnsi="Times New Roman"/>
          <w:color w:val="000000"/>
          <w:szCs w:val="21"/>
        </w:rPr>
        <w:t>代理人无转委托权。</w:t>
      </w:r>
    </w:p>
    <w:p>
      <w:pPr>
        <w:spacing w:line="300" w:lineRule="auto"/>
        <w:ind w:firstLine="480" w:firstLineChars="200"/>
        <w:rPr>
          <w:rFonts w:ascii="Times New Roman" w:hAnsi="Times New Roman"/>
          <w:color w:val="000000"/>
          <w:szCs w:val="21"/>
        </w:rPr>
      </w:pPr>
      <w:r>
        <w:rPr>
          <w:rFonts w:hint="eastAsia" w:ascii="Times New Roman" w:hAnsi="Times New Roman"/>
          <w:color w:val="000000"/>
          <w:szCs w:val="21"/>
        </w:rPr>
        <w:t>附：法定代表人身份证明、授权代表身份证复印件；</w:t>
      </w:r>
    </w:p>
    <w:tbl>
      <w:tblPr>
        <w:tblStyle w:val="1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4350" w:type="dxa"/>
          </w:tcPr>
          <w:p>
            <w:pPr>
              <w:widowControl w:val="0"/>
              <w:spacing w:line="300" w:lineRule="auto"/>
              <w:jc w:val="both"/>
              <w:rPr>
                <w:rFonts w:hint="eastAsia" w:ascii="Times New Roman" w:hAnsi="Times New Roman" w:eastAsia="宋体"/>
                <w:color w:val="000000"/>
                <w:szCs w:val="21"/>
                <w:vertAlign w:val="baseline"/>
                <w:lang w:eastAsia="zh-CN"/>
              </w:rPr>
            </w:pPr>
          </w:p>
        </w:tc>
        <w:tc>
          <w:tcPr>
            <w:tcW w:w="4350" w:type="dxa"/>
          </w:tcPr>
          <w:p>
            <w:pPr>
              <w:widowControl w:val="0"/>
              <w:spacing w:line="300" w:lineRule="auto"/>
              <w:jc w:val="center"/>
              <w:rPr>
                <w:rFonts w:hint="eastAsia" w:ascii="Times New Roman" w:hAnsi="Times New Roman" w:eastAsia="宋体"/>
                <w:color w:val="00000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4350" w:type="dxa"/>
          </w:tcPr>
          <w:p>
            <w:pPr>
              <w:widowControl w:val="0"/>
              <w:spacing w:line="300" w:lineRule="auto"/>
              <w:jc w:val="both"/>
              <w:rPr>
                <w:rFonts w:ascii="Times New Roman" w:hAnsi="Times New Roman"/>
                <w:color w:val="000000"/>
                <w:szCs w:val="21"/>
                <w:vertAlign w:val="baseline"/>
              </w:rPr>
            </w:pPr>
          </w:p>
        </w:tc>
        <w:tc>
          <w:tcPr>
            <w:tcW w:w="4350" w:type="dxa"/>
          </w:tcPr>
          <w:p>
            <w:pPr>
              <w:widowControl w:val="0"/>
              <w:spacing w:line="300" w:lineRule="auto"/>
              <w:jc w:val="both"/>
              <w:rPr>
                <w:rFonts w:ascii="Times New Roman" w:hAnsi="Times New Roman"/>
                <w:color w:val="000000"/>
                <w:szCs w:val="21"/>
                <w:vertAlign w:val="baseline"/>
              </w:rPr>
            </w:pPr>
          </w:p>
        </w:tc>
      </w:tr>
    </w:tbl>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r>
        <w:rPr>
          <w:rFonts w:hint="eastAsia" w:ascii="Times New Roman" w:hAnsi="Times New Roman"/>
          <w:color w:val="000000"/>
          <w:szCs w:val="21"/>
        </w:rPr>
        <w:t>供应商：</w:t>
      </w:r>
      <w:r>
        <w:rPr>
          <w:rFonts w:ascii="Times New Roman" w:hAnsi="Times New Roman"/>
          <w:color w:val="000000"/>
          <w:szCs w:val="21"/>
          <w:u w:val="single"/>
        </w:rPr>
        <w:t xml:space="preserve">                               </w:t>
      </w:r>
      <w:r>
        <w:rPr>
          <w:rFonts w:hint="eastAsia" w:ascii="Times New Roman" w:hAnsi="Times New Roman"/>
          <w:color w:val="000000"/>
          <w:szCs w:val="21"/>
        </w:rPr>
        <w:t>（盖单位章）</w:t>
      </w: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r>
        <w:rPr>
          <w:rFonts w:hint="eastAsia" w:ascii="Times New Roman" w:hAnsi="Times New Roman"/>
          <w:color w:val="000000"/>
          <w:szCs w:val="21"/>
        </w:rPr>
        <w:t>法定代表人：</w:t>
      </w:r>
      <w:r>
        <w:rPr>
          <w:rFonts w:ascii="Times New Roman" w:hAnsi="Times New Roman"/>
          <w:color w:val="000000"/>
          <w:szCs w:val="21"/>
          <w:u w:val="single"/>
        </w:rPr>
        <w:t xml:space="preserve">                               </w:t>
      </w:r>
      <w:r>
        <w:rPr>
          <w:rFonts w:hint="eastAsia" w:ascii="Times New Roman" w:hAnsi="Times New Roman"/>
          <w:color w:val="000000"/>
          <w:szCs w:val="21"/>
        </w:rPr>
        <w:t>（签字</w:t>
      </w:r>
      <w:r>
        <w:rPr>
          <w:rFonts w:hint="eastAsia" w:ascii="Times New Roman" w:hAnsi="Times New Roman"/>
          <w:color w:val="000000"/>
          <w:szCs w:val="21"/>
          <w:lang w:val="en-US" w:eastAsia="zh-CN"/>
        </w:rPr>
        <w:t>或</w:t>
      </w:r>
      <w:r>
        <w:rPr>
          <w:rFonts w:hint="eastAsia" w:ascii="Times New Roman" w:hAnsi="Times New Roman"/>
          <w:color w:val="000000"/>
          <w:szCs w:val="21"/>
        </w:rPr>
        <w:t>盖章）</w:t>
      </w:r>
    </w:p>
    <w:p>
      <w:pPr>
        <w:spacing w:line="300" w:lineRule="auto"/>
        <w:rPr>
          <w:rFonts w:ascii="Times New Roman" w:hAnsi="Times New Roman"/>
          <w:color w:val="000000"/>
          <w:szCs w:val="21"/>
        </w:rPr>
      </w:pPr>
    </w:p>
    <w:p>
      <w:pPr>
        <w:spacing w:line="300" w:lineRule="auto"/>
        <w:rPr>
          <w:rFonts w:hint="default" w:ascii="Times New Roman" w:hAnsi="Times New Roman" w:eastAsia="宋体"/>
          <w:color w:val="000000"/>
          <w:szCs w:val="21"/>
          <w:u w:val="single"/>
          <w:lang w:val="en-US" w:eastAsia="zh-CN"/>
        </w:rPr>
      </w:pPr>
      <w:r>
        <w:rPr>
          <w:rFonts w:hint="eastAsia" w:ascii="Times New Roman" w:hAnsi="Times New Roman"/>
          <w:color w:val="000000"/>
          <w:szCs w:val="21"/>
        </w:rPr>
        <w:t>身份证号码：</w:t>
      </w:r>
      <w:r>
        <w:rPr>
          <w:rFonts w:hint="eastAsia" w:ascii="Times New Roman" w:hAnsi="Times New Roman"/>
          <w:color w:val="000000"/>
          <w:szCs w:val="21"/>
          <w:u w:val="single"/>
          <w:lang w:val="en-US" w:eastAsia="zh-CN"/>
        </w:rPr>
        <w:t xml:space="preserve">               </w:t>
      </w: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r>
        <w:rPr>
          <w:rFonts w:hint="eastAsia" w:ascii="Times New Roman" w:hAnsi="Times New Roman"/>
          <w:color w:val="000000"/>
          <w:szCs w:val="21"/>
        </w:rPr>
        <w:t>委托代理人：</w:t>
      </w:r>
      <w:r>
        <w:rPr>
          <w:rFonts w:ascii="Times New Roman" w:hAnsi="Times New Roman"/>
          <w:color w:val="000000"/>
          <w:szCs w:val="21"/>
          <w:u w:val="single"/>
        </w:rPr>
        <w:t xml:space="preserve">                                   </w:t>
      </w:r>
      <w:r>
        <w:rPr>
          <w:rFonts w:hint="eastAsia" w:ascii="Times New Roman" w:hAnsi="Times New Roman"/>
          <w:color w:val="000000"/>
          <w:szCs w:val="21"/>
        </w:rPr>
        <w:t>（签字）</w:t>
      </w:r>
      <w:r>
        <w:rPr>
          <w:rFonts w:ascii="Times New Roman" w:hAnsi="Times New Roman"/>
          <w:color w:val="000000"/>
          <w:szCs w:val="21"/>
        </w:rPr>
        <w:t xml:space="preserve"> </w:t>
      </w:r>
    </w:p>
    <w:p>
      <w:pPr>
        <w:spacing w:line="300" w:lineRule="auto"/>
        <w:rPr>
          <w:rFonts w:ascii="Times New Roman" w:hAnsi="Times New Roman"/>
          <w:color w:val="000000"/>
          <w:szCs w:val="21"/>
        </w:rPr>
      </w:pPr>
    </w:p>
    <w:p>
      <w:pPr>
        <w:spacing w:line="300" w:lineRule="auto"/>
        <w:rPr>
          <w:rFonts w:hint="default" w:ascii="Times New Roman" w:hAnsi="Times New Roman" w:eastAsia="宋体"/>
          <w:color w:val="000000"/>
          <w:szCs w:val="21"/>
          <w:u w:val="single"/>
          <w:lang w:val="en-US" w:eastAsia="zh-CN"/>
        </w:rPr>
      </w:pPr>
      <w:r>
        <w:rPr>
          <w:rFonts w:hint="eastAsia" w:ascii="Times New Roman" w:hAnsi="Times New Roman"/>
          <w:color w:val="000000"/>
          <w:szCs w:val="21"/>
        </w:rPr>
        <w:t>身份证号码：</w:t>
      </w:r>
      <w:r>
        <w:rPr>
          <w:rFonts w:hint="eastAsia" w:ascii="Times New Roman" w:hAnsi="Times New Roman"/>
          <w:color w:val="000000"/>
          <w:szCs w:val="21"/>
          <w:u w:val="single"/>
          <w:lang w:val="en-US" w:eastAsia="zh-CN"/>
        </w:rPr>
        <w:t xml:space="preserve">                </w:t>
      </w:r>
    </w:p>
    <w:p>
      <w:pPr>
        <w:spacing w:line="300" w:lineRule="auto"/>
        <w:jc w:val="center"/>
        <w:rPr>
          <w:rFonts w:ascii="Times New Roman" w:hAnsi="Times New Roman" w:eastAsia="黑体"/>
          <w:color w:val="000000"/>
          <w:szCs w:val="21"/>
        </w:rPr>
      </w:pPr>
      <w:r>
        <w:rPr>
          <w:rFonts w:hint="eastAsia" w:ascii="Times New Roman" w:hAnsi="Times New Roman"/>
          <w:color w:val="000000"/>
          <w:szCs w:val="21"/>
          <w:u w:val="single"/>
          <w:lang w:val="en-US" w:eastAsia="zh-CN"/>
        </w:rPr>
        <w:t>2024</w:t>
      </w:r>
      <w:r>
        <w:rPr>
          <w:rFonts w:hint="eastAsia" w:ascii="Times New Roman" w:hAnsi="Times New Roman"/>
          <w:color w:val="000000"/>
          <w:szCs w:val="21"/>
        </w:rPr>
        <w:t>年</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月</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日</w:t>
      </w:r>
    </w:p>
    <w:p>
      <w:pPr>
        <w:pStyle w:val="2"/>
        <w:spacing w:before="0" w:after="0" w:line="300" w:lineRule="auto"/>
        <w:jc w:val="both"/>
        <w:rPr>
          <w:rFonts w:ascii="Times New Roman" w:hAnsi="Times New Roman"/>
          <w:color w:val="000000"/>
        </w:rPr>
      </w:pPr>
    </w:p>
    <w:p/>
    <w:p>
      <w:pPr>
        <w:pStyle w:val="2"/>
        <w:spacing w:before="0" w:after="0" w:line="300" w:lineRule="auto"/>
        <w:jc w:val="center"/>
        <w:rPr>
          <w:rFonts w:ascii="Times New Roman" w:hAnsi="Times New Roman"/>
          <w:b w:val="0"/>
          <w:bCs w:val="0"/>
          <w:color w:val="000000"/>
        </w:rPr>
      </w:pPr>
      <w:r>
        <w:rPr>
          <w:rFonts w:hint="eastAsia" w:ascii="Times New Roman" w:hAnsi="Times New Roman"/>
          <w:b w:val="0"/>
          <w:bCs w:val="0"/>
          <w:color w:val="000000"/>
        </w:rPr>
        <w:t>法定代表人身份证明</w:t>
      </w:r>
    </w:p>
    <w:p>
      <w:pPr>
        <w:spacing w:line="300" w:lineRule="auto"/>
        <w:rPr>
          <w:rFonts w:ascii="Times New Roman" w:hAnsi="Times New Roman"/>
          <w:color w:val="000000"/>
          <w:sz w:val="20"/>
        </w:rPr>
      </w:pPr>
    </w:p>
    <w:p>
      <w:pPr>
        <w:spacing w:line="300" w:lineRule="auto"/>
        <w:rPr>
          <w:rFonts w:ascii="Times New Roman" w:hAnsi="Times New Roman"/>
          <w:color w:val="000000"/>
          <w:szCs w:val="21"/>
        </w:rPr>
      </w:pPr>
    </w:p>
    <w:p>
      <w:pPr>
        <w:spacing w:line="300" w:lineRule="auto"/>
        <w:rPr>
          <w:rFonts w:hint="default" w:ascii="Times New Roman" w:hAnsi="Times New Roman" w:eastAsia="宋体"/>
          <w:color w:val="000000"/>
          <w:szCs w:val="21"/>
          <w:u w:val="single"/>
          <w:lang w:val="en-US" w:eastAsia="zh-CN"/>
        </w:rPr>
      </w:pPr>
      <w:r>
        <w:rPr>
          <w:rFonts w:hint="eastAsia" w:ascii="Times New Roman" w:hAnsi="Times New Roman"/>
          <w:color w:val="000000"/>
          <w:szCs w:val="21"/>
          <w:lang w:val="en-US" w:eastAsia="zh-CN"/>
        </w:rPr>
        <w:t>单位</w:t>
      </w:r>
      <w:r>
        <w:rPr>
          <w:rFonts w:hint="eastAsia" w:ascii="Times New Roman" w:hAnsi="Times New Roman"/>
          <w:color w:val="000000"/>
          <w:szCs w:val="21"/>
        </w:rPr>
        <w:t>名称：</w:t>
      </w:r>
      <w:r>
        <w:rPr>
          <w:rFonts w:hint="eastAsia" w:ascii="Times New Roman" w:hAnsi="Times New Roman"/>
          <w:color w:val="000000"/>
          <w:szCs w:val="21"/>
          <w:u w:val="single"/>
          <w:lang w:val="en-US" w:eastAsia="zh-CN"/>
        </w:rPr>
        <w:t xml:space="preserve">                </w:t>
      </w:r>
    </w:p>
    <w:p>
      <w:pPr>
        <w:spacing w:line="300" w:lineRule="auto"/>
        <w:rPr>
          <w:rFonts w:hint="default" w:ascii="Times New Roman" w:hAnsi="Times New Roman" w:eastAsia="宋体"/>
          <w:color w:val="000000"/>
          <w:szCs w:val="21"/>
          <w:u w:val="single"/>
          <w:lang w:val="en-US" w:eastAsia="zh-CN"/>
        </w:rPr>
      </w:pPr>
      <w:r>
        <w:rPr>
          <w:rFonts w:hint="eastAsia" w:ascii="Times New Roman" w:hAnsi="Times New Roman"/>
          <w:color w:val="000000"/>
          <w:szCs w:val="21"/>
        </w:rPr>
        <w:t>单位性质：</w:t>
      </w:r>
      <w:r>
        <w:rPr>
          <w:rFonts w:hint="eastAsia" w:ascii="Times New Roman" w:hAnsi="Times New Roman"/>
          <w:color w:val="000000"/>
          <w:szCs w:val="21"/>
          <w:u w:val="single"/>
          <w:lang w:val="en-US" w:eastAsia="zh-CN"/>
        </w:rPr>
        <w:t xml:space="preserve">          </w:t>
      </w:r>
    </w:p>
    <w:p>
      <w:pPr>
        <w:spacing w:line="300" w:lineRule="auto"/>
        <w:rPr>
          <w:rFonts w:hint="eastAsia" w:ascii="Times New Roman" w:hAnsi="Times New Roman"/>
          <w:color w:val="000000"/>
          <w:szCs w:val="21"/>
          <w:u w:val="single"/>
          <w:lang w:val="en-US" w:eastAsia="zh-CN"/>
        </w:rPr>
      </w:pPr>
      <w:r>
        <w:rPr>
          <w:rFonts w:hint="eastAsia" w:ascii="Times New Roman" w:hAnsi="Times New Roman"/>
          <w:color w:val="000000"/>
          <w:szCs w:val="21"/>
        </w:rPr>
        <w:t>地址：</w:t>
      </w:r>
      <w:r>
        <w:rPr>
          <w:rFonts w:hint="eastAsia" w:ascii="Times New Roman" w:hAnsi="Times New Roman"/>
          <w:color w:val="000000"/>
          <w:szCs w:val="21"/>
          <w:u w:val="single"/>
          <w:lang w:val="en-US" w:eastAsia="zh-CN"/>
        </w:rPr>
        <w:t xml:space="preserve">                        </w:t>
      </w:r>
    </w:p>
    <w:p>
      <w:pPr>
        <w:spacing w:line="300" w:lineRule="auto"/>
        <w:rPr>
          <w:rFonts w:ascii="Times New Roman" w:hAnsi="Times New Roman"/>
          <w:color w:val="000000"/>
          <w:szCs w:val="21"/>
        </w:rPr>
      </w:pPr>
      <w:r>
        <w:rPr>
          <w:rFonts w:hint="eastAsia" w:ascii="Times New Roman" w:hAnsi="Times New Roman"/>
          <w:color w:val="000000"/>
          <w:szCs w:val="21"/>
        </w:rPr>
        <w:t>成立时间：</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年</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月</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日</w:t>
      </w:r>
    </w:p>
    <w:p>
      <w:pPr>
        <w:spacing w:line="300" w:lineRule="auto"/>
        <w:rPr>
          <w:rFonts w:hint="default" w:ascii="Times New Roman" w:hAnsi="Times New Roman" w:eastAsia="宋体"/>
          <w:color w:val="000000"/>
          <w:szCs w:val="21"/>
          <w:u w:val="single"/>
          <w:lang w:val="en-US" w:eastAsia="zh-CN"/>
        </w:rPr>
      </w:pPr>
      <w:r>
        <w:rPr>
          <w:rFonts w:hint="eastAsia" w:ascii="Times New Roman" w:hAnsi="Times New Roman"/>
          <w:color w:val="000000"/>
          <w:szCs w:val="21"/>
        </w:rPr>
        <w:t>经营期限：</w:t>
      </w:r>
      <w:r>
        <w:rPr>
          <w:rFonts w:hint="eastAsia" w:ascii="Times New Roman" w:hAnsi="Times New Roman"/>
          <w:color w:val="000000"/>
          <w:szCs w:val="21"/>
          <w:u w:val="single"/>
          <w:lang w:val="en-US" w:eastAsia="zh-CN"/>
        </w:rPr>
        <w:t xml:space="preserve">  </w:t>
      </w:r>
    </w:p>
    <w:p>
      <w:pPr>
        <w:spacing w:line="300" w:lineRule="auto"/>
        <w:rPr>
          <w:rFonts w:hint="default" w:ascii="Times New Roman" w:hAnsi="Times New Roman" w:eastAsia="宋体"/>
          <w:color w:val="000000"/>
          <w:szCs w:val="21"/>
          <w:u w:val="single"/>
          <w:lang w:val="en-US" w:eastAsia="zh-CN"/>
        </w:rPr>
      </w:pPr>
      <w:r>
        <w:rPr>
          <w:rFonts w:hint="eastAsia" w:ascii="Times New Roman" w:hAnsi="Times New Roman"/>
          <w:color w:val="000000"/>
          <w:szCs w:val="21"/>
        </w:rPr>
        <w:t>姓名：</w:t>
      </w:r>
      <w:r>
        <w:rPr>
          <w:rFonts w:hint="eastAsia" w:ascii="Times New Roman" w:hAnsi="Times New Roman"/>
          <w:color w:val="000000"/>
          <w:szCs w:val="21"/>
          <w:u w:val="single"/>
          <w:lang w:val="en-US" w:eastAsia="zh-CN"/>
        </w:rPr>
        <w:t xml:space="preserve">   </w:t>
      </w:r>
      <w:r>
        <w:rPr>
          <w:rFonts w:ascii="Times New Roman" w:hAnsi="Times New Roman"/>
          <w:color w:val="000000"/>
          <w:szCs w:val="21"/>
        </w:rPr>
        <w:t xml:space="preserve"> </w:t>
      </w:r>
      <w:r>
        <w:rPr>
          <w:rFonts w:hint="eastAsia" w:ascii="Times New Roman" w:hAnsi="Times New Roman"/>
          <w:color w:val="000000"/>
          <w:szCs w:val="21"/>
        </w:rPr>
        <w:t>性别：</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年龄：</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职务：</w:t>
      </w:r>
      <w:r>
        <w:rPr>
          <w:rFonts w:hint="eastAsia" w:ascii="Times New Roman" w:hAnsi="Times New Roman"/>
          <w:color w:val="000000"/>
          <w:szCs w:val="21"/>
          <w:u w:val="single"/>
          <w:lang w:val="en-US" w:eastAsia="zh-CN"/>
        </w:rPr>
        <w:t xml:space="preserve">  </w:t>
      </w:r>
    </w:p>
    <w:p>
      <w:pPr>
        <w:spacing w:line="300" w:lineRule="auto"/>
        <w:rPr>
          <w:rFonts w:ascii="Times New Roman" w:hAnsi="Times New Roman"/>
          <w:color w:val="000000"/>
          <w:szCs w:val="21"/>
        </w:rPr>
      </w:pPr>
      <w:r>
        <w:rPr>
          <w:rFonts w:hint="eastAsia" w:ascii="Times New Roman" w:hAnsi="Times New Roman"/>
          <w:color w:val="000000"/>
          <w:szCs w:val="21"/>
        </w:rPr>
        <w:t>系</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（名称）的法定代表人。</w:t>
      </w:r>
    </w:p>
    <w:p>
      <w:pPr>
        <w:spacing w:line="300" w:lineRule="auto"/>
        <w:ind w:firstLine="480" w:firstLineChars="200"/>
        <w:rPr>
          <w:rFonts w:ascii="Times New Roman" w:hAnsi="Times New Roman"/>
          <w:color w:val="000000"/>
          <w:szCs w:val="21"/>
        </w:rPr>
      </w:pPr>
      <w:r>
        <w:rPr>
          <w:rFonts w:hint="eastAsia" w:ascii="Times New Roman" w:hAnsi="Times New Roman"/>
          <w:color w:val="000000"/>
          <w:szCs w:val="21"/>
        </w:rPr>
        <w:t>特此证明。</w:t>
      </w:r>
    </w:p>
    <w:p>
      <w:pPr>
        <w:spacing w:line="300" w:lineRule="auto"/>
        <w:rPr>
          <w:rFonts w:ascii="Times New Roman" w:hAnsi="Times New Roman"/>
          <w:color w:val="000000"/>
          <w:szCs w:val="21"/>
        </w:rPr>
      </w:pPr>
    </w:p>
    <w:p>
      <w:pPr>
        <w:spacing w:line="300" w:lineRule="auto"/>
        <w:rPr>
          <w:rFonts w:ascii="Times New Roman" w:hAnsi="Times New Roman"/>
          <w:color w:val="000000"/>
          <w:szCs w:val="21"/>
        </w:rPr>
      </w:pPr>
    </w:p>
    <w:p>
      <w:pPr>
        <w:spacing w:line="300" w:lineRule="auto"/>
        <w:jc w:val="right"/>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供应商：</w:t>
      </w:r>
      <w:r>
        <w:rPr>
          <w:rFonts w:ascii="Times New Roman" w:hAnsi="Times New Roman"/>
          <w:color w:val="000000"/>
          <w:szCs w:val="21"/>
          <w:u w:val="single"/>
        </w:rPr>
        <w:t xml:space="preserve">                      </w:t>
      </w:r>
      <w:r>
        <w:rPr>
          <w:rFonts w:hint="eastAsia" w:ascii="Times New Roman" w:hAnsi="Times New Roman"/>
          <w:color w:val="000000"/>
          <w:szCs w:val="21"/>
        </w:rPr>
        <w:t>（盖单位章）</w:t>
      </w:r>
    </w:p>
    <w:p>
      <w:pPr>
        <w:spacing w:line="300" w:lineRule="auto"/>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u w:val="single"/>
          <w:lang w:val="en-US" w:eastAsia="zh-CN"/>
        </w:rPr>
        <w:t>2024</w:t>
      </w:r>
      <w:r>
        <w:rPr>
          <w:rFonts w:hint="eastAsia" w:ascii="Times New Roman" w:hAnsi="Times New Roman"/>
          <w:color w:val="000000"/>
          <w:szCs w:val="21"/>
        </w:rPr>
        <w:t>年</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月</w:t>
      </w:r>
      <w:r>
        <w:rPr>
          <w:rFonts w:hint="eastAsia" w:ascii="Times New Roman" w:hAnsi="Times New Roman"/>
          <w:color w:val="000000"/>
          <w:szCs w:val="21"/>
          <w:u w:val="single"/>
          <w:lang w:val="en-US" w:eastAsia="zh-CN"/>
        </w:rPr>
        <w:t xml:space="preserve">  </w:t>
      </w:r>
      <w:r>
        <w:rPr>
          <w:rFonts w:hint="eastAsia" w:ascii="Times New Roman" w:hAnsi="Times New Roman"/>
          <w:color w:val="000000"/>
          <w:szCs w:val="21"/>
        </w:rPr>
        <w:t>日</w:t>
      </w:r>
    </w:p>
    <w:p>
      <w:pPr>
        <w:pStyle w:val="26"/>
        <w:rPr>
          <w:rFonts w:ascii="宋体" w:hAnsi="宋体" w:eastAsia="宋体" w:cs="宋体"/>
          <w:szCs w:val="24"/>
        </w:rPr>
      </w:pPr>
      <w:r>
        <w:rPr>
          <w:rFonts w:ascii="Times New Roman" w:hAnsi="Times New Roman"/>
          <w:color w:val="000000"/>
          <w:sz w:val="20"/>
          <w:szCs w:val="20"/>
        </w:rPr>
        <w:br w:type="page"/>
      </w:r>
    </w:p>
    <w:p>
      <w:pPr>
        <w:spacing w:line="360" w:lineRule="auto"/>
        <w:rPr>
          <w:rFonts w:cs="仿宋"/>
          <w:bCs/>
        </w:rPr>
      </w:pPr>
      <w:bookmarkStart w:id="127" w:name="_Toc337496474"/>
      <w:r>
        <w:rPr>
          <w:rFonts w:hint="eastAsia" w:cs="仿宋"/>
          <w:bCs/>
        </w:rPr>
        <w:t>4.1</w:t>
      </w:r>
      <w:bookmarkEnd w:id="127"/>
      <w:r>
        <w:rPr>
          <w:rFonts w:hint="eastAsia" w:cs="仿宋"/>
          <w:bCs/>
        </w:rPr>
        <w:t>供应商基本情况及证书复印件</w:t>
      </w:r>
    </w:p>
    <w:p>
      <w:pPr>
        <w:spacing w:line="360" w:lineRule="auto"/>
        <w:jc w:val="center"/>
        <w:rPr>
          <w:rFonts w:cs="仿宋"/>
        </w:rPr>
      </w:pPr>
      <w:r>
        <w:rPr>
          <w:rFonts w:hint="eastAsia" w:cs="仿宋"/>
          <w:b/>
        </w:rPr>
        <w:t>基本情况</w:t>
      </w:r>
    </w:p>
    <w:tbl>
      <w:tblPr>
        <w:tblStyle w:val="15"/>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900"/>
        <w:gridCol w:w="2215"/>
        <w:gridCol w:w="311"/>
        <w:gridCol w:w="1080"/>
        <w:gridCol w:w="23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1"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名称</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注册地址</w:t>
            </w:r>
          </w:p>
        </w:tc>
        <w:tc>
          <w:tcPr>
            <w:tcW w:w="3426" w:type="dxa"/>
            <w:gridSpan w:val="3"/>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邮政编码</w:t>
            </w:r>
          </w:p>
        </w:tc>
        <w:tc>
          <w:tcPr>
            <w:tcW w:w="2347"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hint="default" w:ascii="Times New Roman" w:hAnsi="Times New Roman"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173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联系方式</w:t>
            </w:r>
          </w:p>
        </w:tc>
        <w:tc>
          <w:tcPr>
            <w:tcW w:w="90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联系人</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hint="eastAsia" w:ascii="Times New Roman" w:hAnsi="Times New Roman" w:eastAsia="宋体"/>
                <w:color w:val="000000"/>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电 话</w:t>
            </w:r>
          </w:p>
        </w:tc>
        <w:tc>
          <w:tcPr>
            <w:tcW w:w="2347"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trPr>
        <w:tc>
          <w:tcPr>
            <w:tcW w:w="173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传  真</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网 址</w:t>
            </w:r>
          </w:p>
        </w:tc>
        <w:tc>
          <w:tcPr>
            <w:tcW w:w="2347"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组织结构</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hint="default" w:ascii="Times New Roman" w:hAnsi="Times New Roman"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法定代表人</w:t>
            </w:r>
          </w:p>
        </w:tc>
        <w:tc>
          <w:tcPr>
            <w:tcW w:w="90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姓名</w:t>
            </w:r>
          </w:p>
        </w:tc>
        <w:tc>
          <w:tcPr>
            <w:tcW w:w="2215"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hint="eastAsia" w:ascii="Times New Roman" w:hAnsi="Times New Roman" w:eastAsia="宋体"/>
                <w:color w:val="000000"/>
                <w:szCs w:val="21"/>
                <w:lang w:val="en-US" w:eastAsia="zh-CN"/>
              </w:rPr>
            </w:pPr>
            <w:r>
              <w:rPr>
                <w:rFonts w:ascii="Times New Roman" w:hAnsi="Times New Roman"/>
                <w:color w:val="000000"/>
                <w:szCs w:val="21"/>
              </w:rPr>
              <w:t>电话</w:t>
            </w:r>
          </w:p>
        </w:tc>
        <w:tc>
          <w:tcPr>
            <w:tcW w:w="2347"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hint="default" w:ascii="Times New Roman" w:hAnsi="Times New Roman"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技术负责人</w:t>
            </w:r>
          </w:p>
        </w:tc>
        <w:tc>
          <w:tcPr>
            <w:tcW w:w="900"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姓名</w:t>
            </w:r>
          </w:p>
        </w:tc>
        <w:tc>
          <w:tcPr>
            <w:tcW w:w="2215"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hint="eastAsia" w:ascii="Times New Roman" w:hAnsi="Times New Roman" w:eastAsia="宋体"/>
                <w:color w:val="000000"/>
                <w:szCs w:val="21"/>
                <w:lang w:val="en-US" w:eastAsia="zh-CN"/>
              </w:rPr>
            </w:pPr>
            <w:r>
              <w:rPr>
                <w:rFonts w:ascii="Times New Roman" w:hAnsi="Times New Roman"/>
                <w:color w:val="000000"/>
                <w:szCs w:val="21"/>
              </w:rPr>
              <w:t>电话</w:t>
            </w:r>
          </w:p>
        </w:tc>
        <w:tc>
          <w:tcPr>
            <w:tcW w:w="2347"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成立时间</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topLinePunct/>
              <w:spacing w:line="300" w:lineRule="auto"/>
              <w:ind w:firstLine="120" w:firstLineChars="5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营业执照号</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hint="default" w:ascii="Times New Roman" w:hAnsi="Times New Roman"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9"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注册资金</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hint="default" w:ascii="Times New Roman" w:hAnsi="Times New Roman"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开户银行</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账号</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31" w:type="dxa"/>
            <w:tcBorders>
              <w:top w:val="single" w:color="auto" w:sz="4" w:space="0"/>
              <w:left w:val="single" w:color="auto" w:sz="4" w:space="0"/>
              <w:right w:val="single" w:color="auto" w:sz="4" w:space="0"/>
            </w:tcBorders>
            <w:vAlign w:val="center"/>
          </w:tcPr>
          <w:p>
            <w:pPr>
              <w:topLinePunct/>
              <w:spacing w:line="300" w:lineRule="auto"/>
              <w:ind w:firstLine="240" w:firstLineChars="100"/>
              <w:jc w:val="center"/>
              <w:rPr>
                <w:rFonts w:ascii="Times New Roman" w:hAnsi="Times New Roman"/>
                <w:color w:val="000000"/>
                <w:szCs w:val="21"/>
              </w:rPr>
            </w:pPr>
            <w:r>
              <w:rPr>
                <w:rFonts w:ascii="Times New Roman" w:hAnsi="Times New Roman"/>
                <w:color w:val="000000"/>
                <w:szCs w:val="21"/>
              </w:rPr>
              <w:t>经营范围</w:t>
            </w:r>
          </w:p>
        </w:tc>
        <w:tc>
          <w:tcPr>
            <w:tcW w:w="6853" w:type="dxa"/>
            <w:gridSpan w:val="5"/>
            <w:tcBorders>
              <w:top w:val="single" w:color="auto" w:sz="4" w:space="0"/>
              <w:left w:val="single" w:color="auto" w:sz="4" w:space="0"/>
              <w:right w:val="single" w:color="auto" w:sz="4" w:space="0"/>
            </w:tcBorders>
            <w:vAlign w:val="center"/>
          </w:tcPr>
          <w:p>
            <w:pPr>
              <w:topLinePunct/>
              <w:spacing w:line="300" w:lineRule="auto"/>
              <w:rPr>
                <w:rFonts w:hint="default" w:ascii="Times New Roman" w:hAnsi="Times New Roman"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31" w:type="dxa"/>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r>
              <w:rPr>
                <w:rFonts w:ascii="Times New Roman" w:hAnsi="Times New Roman"/>
                <w:color w:val="000000"/>
                <w:szCs w:val="21"/>
              </w:rPr>
              <w:t>备注</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topLinePunct/>
              <w:spacing w:line="300" w:lineRule="auto"/>
              <w:jc w:val="center"/>
              <w:rPr>
                <w:rFonts w:ascii="Times New Roman" w:hAnsi="Times New Roman"/>
                <w:color w:val="000000"/>
                <w:szCs w:val="21"/>
              </w:rPr>
            </w:pPr>
          </w:p>
        </w:tc>
      </w:tr>
    </w:tbl>
    <w:p>
      <w:pPr>
        <w:topLinePunct/>
        <w:spacing w:line="360" w:lineRule="auto"/>
        <w:ind w:firstLine="480" w:firstLineChars="200"/>
        <w:rPr>
          <w:rFonts w:cs="仿宋"/>
        </w:rPr>
      </w:pPr>
      <w:r>
        <w:rPr>
          <w:rFonts w:hint="eastAsia" w:cs="仿宋"/>
        </w:rPr>
        <w:t>注：本表可增加并扩展。</w:t>
      </w:r>
    </w:p>
    <w:p>
      <w:pPr>
        <w:topLinePunct/>
        <w:spacing w:line="360" w:lineRule="auto"/>
        <w:ind w:firstLine="480" w:firstLineChars="200"/>
        <w:rPr>
          <w:rFonts w:cs="仿宋"/>
        </w:rPr>
      </w:pPr>
      <w:r>
        <w:rPr>
          <w:rFonts w:hint="eastAsia" w:cs="仿宋"/>
        </w:rPr>
        <w:t>附：</w:t>
      </w:r>
      <w:r>
        <w:rPr>
          <w:rFonts w:hint="eastAsia"/>
        </w:rPr>
        <w:t>包括但不限于：营业执照、资质证书、体系认证、资信等级、人员资格证书、业绩合同、获奖证书等的复印件，加盖公章。</w:t>
      </w:r>
    </w:p>
    <w:p>
      <w:pPr>
        <w:spacing w:line="360" w:lineRule="auto"/>
        <w:rPr>
          <w:rFonts w:cs="仿宋"/>
          <w:spacing w:val="20"/>
          <w:u w:val="single"/>
        </w:rPr>
      </w:pPr>
    </w:p>
    <w:p>
      <w:pPr>
        <w:pStyle w:val="26"/>
        <w:rPr>
          <w:rFonts w:hint="eastAsia" w:cs="仿宋"/>
          <w:spacing w:val="20"/>
        </w:rPr>
      </w:pPr>
      <w:r>
        <w:rPr>
          <w:rFonts w:hint="eastAsia" w:cs="仿宋"/>
          <w:spacing w:val="20"/>
        </w:rPr>
        <w:br w:type="page"/>
      </w:r>
      <w:bookmarkStart w:id="128" w:name="_Toc352160853"/>
      <w:bookmarkStart w:id="129" w:name="_Toc506105878"/>
      <w:bookmarkStart w:id="130" w:name="_Toc508871758"/>
      <w:bookmarkStart w:id="131" w:name="_Toc391556618"/>
    </w:p>
    <w:p>
      <w:pPr>
        <w:pStyle w:val="26"/>
        <w:rPr>
          <w:rFonts w:hint="default" w:eastAsia="黑体" w:cs="仿宋"/>
          <w:spacing w:val="20"/>
          <w:lang w:val="en-US" w:eastAsia="zh-CN"/>
        </w:rPr>
      </w:pPr>
      <w:r>
        <w:rPr>
          <w:rFonts w:hint="eastAsia" w:cs="仿宋"/>
          <w:spacing w:val="20"/>
          <w:lang w:val="en-US" w:eastAsia="zh-CN"/>
        </w:rPr>
        <w:t>资质文件</w:t>
      </w:r>
    </w:p>
    <w:tbl>
      <w:tblPr>
        <w:tblStyle w:val="16"/>
        <w:tblpPr w:leftFromText="180" w:rightFromText="180" w:vertAnchor="text" w:horzAnchor="page" w:tblpX="1665" w:tblpY="281"/>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3" w:hRule="atLeast"/>
        </w:trPr>
        <w:tc>
          <w:tcPr>
            <w:tcW w:w="8840" w:type="dxa"/>
          </w:tcPr>
          <w:p>
            <w:pPr>
              <w:pStyle w:val="26"/>
              <w:rPr>
                <w:rFonts w:hint="eastAsia" w:eastAsia="黑体"/>
                <w:vertAlign w:val="baseline"/>
                <w:lang w:eastAsia="zh-CN"/>
              </w:rPr>
            </w:pPr>
          </w:p>
        </w:tc>
      </w:tr>
    </w:tbl>
    <w:p>
      <w:pPr>
        <w:pStyle w:val="26"/>
        <w:ind w:left="0" w:leftChars="0" w:firstLine="0" w:firstLineChars="0"/>
        <w:rPr>
          <w:rFonts w:hint="eastAsia" w:eastAsia="黑体"/>
          <w:lang w:eastAsia="zh-CN"/>
        </w:rPr>
      </w:pPr>
    </w:p>
    <w:p>
      <w:pPr>
        <w:rPr>
          <w:rFonts w:hint="eastAsia" w:eastAsia="黑体"/>
          <w:lang w:eastAsia="zh-CN"/>
        </w:rPr>
      </w:pPr>
      <w:r>
        <w:rPr>
          <w:rFonts w:hint="eastAsia" w:eastAsia="黑体"/>
          <w:lang w:eastAsia="zh-CN"/>
        </w:rPr>
        <w:br w:type="page"/>
      </w:r>
    </w:p>
    <w:p>
      <w:pPr>
        <w:pStyle w:val="26"/>
        <w:rPr>
          <w:rFonts w:hint="eastAsia" w:eastAsia="黑体"/>
          <w:lang w:eastAsia="zh-CN"/>
        </w:rPr>
      </w:pPr>
    </w:p>
    <w:p>
      <w:pPr>
        <w:pStyle w:val="26"/>
        <w:rPr>
          <w:rFonts w:ascii="宋体" w:hAnsi="宋体" w:eastAsia="宋体" w:cs="仿宋"/>
          <w:b/>
          <w:szCs w:val="24"/>
        </w:rPr>
      </w:pPr>
      <w:r>
        <w:rPr>
          <w:rFonts w:hint="eastAsia" w:ascii="宋体" w:hAnsi="宋体" w:eastAsia="宋体" w:cs="仿宋"/>
          <w:b/>
          <w:szCs w:val="24"/>
        </w:rPr>
        <w:t>5、报价表</w:t>
      </w:r>
      <w:bookmarkEnd w:id="128"/>
      <w:bookmarkEnd w:id="129"/>
      <w:bookmarkEnd w:id="130"/>
      <w:bookmarkEnd w:id="131"/>
    </w:p>
    <w:p>
      <w:pPr>
        <w:spacing w:line="360" w:lineRule="auto"/>
        <w:rPr>
          <w:rFonts w:cs="仿宋"/>
          <w:b/>
        </w:rPr>
      </w:pPr>
      <w:r>
        <w:rPr>
          <w:rFonts w:hint="eastAsia" w:cs="仿宋"/>
          <w:b/>
        </w:rPr>
        <w:t>5.1报价说明：</w:t>
      </w:r>
    </w:p>
    <w:p>
      <w:pPr>
        <w:topLinePunct/>
        <w:spacing w:line="360" w:lineRule="auto"/>
        <w:ind w:firstLine="480" w:firstLineChars="200"/>
      </w:pPr>
      <w:r>
        <w:rPr>
          <w:rFonts w:hint="eastAsia"/>
        </w:rPr>
        <w:t>5.1报价表应按本谈判文件规定的格式填写。</w:t>
      </w:r>
    </w:p>
    <w:p>
      <w:pPr>
        <w:topLinePunct/>
        <w:spacing w:line="360" w:lineRule="auto"/>
        <w:ind w:firstLine="480" w:firstLineChars="200"/>
      </w:pPr>
      <w:r>
        <w:rPr>
          <w:rFonts w:hint="eastAsia"/>
        </w:rPr>
        <w:t>5.2报价币种为人民币。</w:t>
      </w:r>
    </w:p>
    <w:p>
      <w:pPr>
        <w:topLinePunct/>
        <w:spacing w:line="360" w:lineRule="auto"/>
        <w:ind w:firstLine="480" w:firstLineChars="200"/>
      </w:pPr>
      <w:r>
        <w:rPr>
          <w:rFonts w:hint="eastAsia"/>
        </w:rPr>
        <w:t>5.3如果按单价计算的结果与总价不一致，以单价为准修正总价。</w:t>
      </w:r>
    </w:p>
    <w:p>
      <w:pPr>
        <w:topLinePunct/>
        <w:spacing w:line="360" w:lineRule="auto"/>
        <w:ind w:firstLine="480" w:firstLineChars="200"/>
      </w:pPr>
      <w:r>
        <w:rPr>
          <w:rFonts w:hint="eastAsia"/>
        </w:rPr>
        <w:t>5.4报价清单中有计算或汇总中的算术错误时，将按谈判须知中有关规定执行。</w:t>
      </w:r>
    </w:p>
    <w:p>
      <w:pPr>
        <w:topLinePunct/>
        <w:spacing w:line="360" w:lineRule="auto"/>
        <w:ind w:firstLine="480" w:firstLineChars="200"/>
      </w:pPr>
      <w:r>
        <w:rPr>
          <w:rFonts w:hint="eastAsia"/>
        </w:rPr>
        <w:t>5.5若供应商对某些项目未报价，则应认为已包括在总报价内。</w:t>
      </w:r>
    </w:p>
    <w:p>
      <w:pPr>
        <w:topLinePunct/>
        <w:spacing w:line="360" w:lineRule="auto"/>
        <w:ind w:firstLine="480" w:firstLineChars="200"/>
      </w:pPr>
      <w:r>
        <w:rPr>
          <w:rFonts w:hint="eastAsia"/>
        </w:rPr>
        <w:t>5.6报价为含9%增值税专用发票价格（以人民币报价的方式）。</w:t>
      </w:r>
    </w:p>
    <w:p>
      <w:pPr>
        <w:autoSpaceDE w:val="0"/>
        <w:autoSpaceDN w:val="0"/>
        <w:adjustRightInd w:val="0"/>
        <w:snapToGrid w:val="0"/>
        <w:ind w:left="393" w:hanging="393" w:hangingChars="163"/>
        <w:jc w:val="center"/>
        <w:rPr>
          <w:rFonts w:cs="仿宋"/>
          <w:b/>
          <w:sz w:val="28"/>
          <w:szCs w:val="28"/>
        </w:rPr>
      </w:pPr>
      <w:r>
        <w:rPr>
          <w:rFonts w:hint="eastAsia" w:cs="仿宋"/>
          <w:b/>
        </w:rPr>
        <w:br w:type="page"/>
      </w:r>
    </w:p>
    <w:p>
      <w:pPr>
        <w:autoSpaceDE w:val="0"/>
        <w:autoSpaceDN w:val="0"/>
        <w:adjustRightInd w:val="0"/>
        <w:snapToGrid w:val="0"/>
        <w:ind w:left="393" w:hanging="393" w:hangingChars="163"/>
        <w:rPr>
          <w:rFonts w:hint="eastAsia" w:cs="仿宋"/>
          <w:b/>
        </w:rPr>
        <w:sectPr>
          <w:pgSz w:w="11906" w:h="16838"/>
          <w:pgMar w:top="1440" w:right="1800" w:bottom="1440" w:left="1800" w:header="851" w:footer="992" w:gutter="0"/>
          <w:cols w:space="425" w:num="1"/>
          <w:docGrid w:type="lines" w:linePitch="312" w:charSpace="0"/>
        </w:sectPr>
      </w:pPr>
    </w:p>
    <w:p>
      <w:pPr>
        <w:autoSpaceDE w:val="0"/>
        <w:autoSpaceDN w:val="0"/>
        <w:adjustRightInd w:val="0"/>
        <w:snapToGrid w:val="0"/>
        <w:ind w:left="393" w:hanging="393" w:hangingChars="163"/>
        <w:rPr>
          <w:rFonts w:cs="仿宋"/>
          <w:b/>
        </w:rPr>
      </w:pPr>
      <w:r>
        <w:rPr>
          <w:rFonts w:hint="eastAsia" w:cs="仿宋"/>
          <w:b/>
        </w:rPr>
        <w:t xml:space="preserve">5.2报价表            </w:t>
      </w:r>
    </w:p>
    <w:p>
      <w:pPr>
        <w:autoSpaceDE w:val="0"/>
        <w:autoSpaceDN w:val="0"/>
        <w:adjustRightInd w:val="0"/>
        <w:snapToGrid w:val="0"/>
        <w:ind w:left="393" w:hanging="393" w:hangingChars="163"/>
        <w:rPr>
          <w:rFonts w:hint="eastAsia" w:cs="仿宋"/>
          <w:b/>
          <w:lang w:val="en-US" w:eastAsia="zh-CN"/>
        </w:rPr>
      </w:pPr>
      <w:r>
        <w:rPr>
          <w:rFonts w:hint="eastAsia" w:cs="仿宋"/>
          <w:b/>
          <w:lang w:val="en-US" w:eastAsia="zh-CN"/>
        </w:rPr>
        <w:t>招标人：济南黄河爆破工程有限责任公司</w:t>
      </w:r>
    </w:p>
    <w:p>
      <w:pPr>
        <w:autoSpaceDE w:val="0"/>
        <w:autoSpaceDN w:val="0"/>
        <w:adjustRightInd w:val="0"/>
        <w:snapToGrid w:val="0"/>
        <w:ind w:left="393" w:hanging="393" w:hangingChars="163"/>
        <w:rPr>
          <w:rFonts w:hint="default" w:cs="仿宋"/>
          <w:b/>
          <w:lang w:val="en-US" w:eastAsia="zh-CN"/>
        </w:rPr>
      </w:pPr>
      <w:r>
        <w:rPr>
          <w:rFonts w:hint="eastAsia" w:cs="仿宋"/>
          <w:b/>
          <w:lang w:val="en-US" w:eastAsia="zh-CN"/>
        </w:rPr>
        <w:t>编号：</w:t>
      </w:r>
    </w:p>
    <w:p>
      <w:pPr>
        <w:autoSpaceDE w:val="0"/>
        <w:autoSpaceDN w:val="0"/>
        <w:adjustRightInd w:val="0"/>
        <w:snapToGrid w:val="0"/>
        <w:ind w:left="393" w:hanging="393" w:hangingChars="163"/>
        <w:jc w:val="center"/>
        <w:rPr>
          <w:rFonts w:hint="eastAsia" w:cs="仿宋"/>
          <w:b/>
        </w:rPr>
      </w:pPr>
      <w:r>
        <w:rPr>
          <w:rFonts w:hint="eastAsia" w:cs="仿宋"/>
          <w:b/>
          <w:lang w:val="en-US" w:eastAsia="zh-CN"/>
        </w:rPr>
        <w:t>滚筒筛隐患整改项目</w:t>
      </w:r>
      <w:r>
        <w:rPr>
          <w:rFonts w:hint="eastAsia" w:cs="仿宋"/>
          <w:b/>
        </w:rPr>
        <w:t>报价明细表</w:t>
      </w:r>
    </w:p>
    <w:tbl>
      <w:tblPr>
        <w:tblStyle w:val="15"/>
        <w:tblW w:w="13186" w:type="dxa"/>
        <w:jc w:val="center"/>
        <w:tblLayout w:type="fixed"/>
        <w:tblCellMar>
          <w:top w:w="0" w:type="dxa"/>
          <w:left w:w="108" w:type="dxa"/>
          <w:bottom w:w="0" w:type="dxa"/>
          <w:right w:w="108" w:type="dxa"/>
        </w:tblCellMar>
      </w:tblPr>
      <w:tblGrid>
        <w:gridCol w:w="1145"/>
        <w:gridCol w:w="1705"/>
        <w:gridCol w:w="2891"/>
        <w:gridCol w:w="736"/>
        <w:gridCol w:w="1173"/>
        <w:gridCol w:w="1230"/>
        <w:gridCol w:w="1855"/>
        <w:gridCol w:w="2451"/>
      </w:tblGrid>
      <w:tr>
        <w:tblPrEx>
          <w:tblCellMar>
            <w:top w:w="0" w:type="dxa"/>
            <w:left w:w="108" w:type="dxa"/>
            <w:bottom w:w="0" w:type="dxa"/>
            <w:right w:w="108" w:type="dxa"/>
          </w:tblCellMar>
        </w:tblPrEx>
        <w:trPr>
          <w:trHeight w:val="304" w:hRule="atLeast"/>
          <w:jc w:val="center"/>
        </w:trPr>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left="0" w:leftChars="0" w:firstLine="0" w:firstLineChars="0"/>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序号</w:t>
            </w:r>
          </w:p>
        </w:tc>
        <w:tc>
          <w:tcPr>
            <w:tcW w:w="1705" w:type="dxa"/>
            <w:tcBorders>
              <w:top w:val="single" w:color="000000" w:sz="8" w:space="0"/>
              <w:left w:val="nil"/>
              <w:bottom w:val="single" w:color="000000" w:sz="8" w:space="0"/>
              <w:right w:val="single" w:color="000000" w:sz="8" w:space="0"/>
            </w:tcBorders>
            <w:shd w:val="clear" w:color="auto" w:fill="auto"/>
            <w:vAlign w:val="center"/>
          </w:tcPr>
          <w:p>
            <w:pPr>
              <w:widowControl/>
              <w:ind w:left="0" w:leftChars="0" w:firstLine="0" w:firstLineChars="0"/>
              <w:jc w:val="center"/>
              <w:rPr>
                <w:rFonts w:hint="default" w:ascii="仿宋_GB2312" w:hAnsi="宋体" w:eastAsia="仿宋_GB2312" w:cs="宋体"/>
                <w:b/>
                <w:bCs/>
                <w:color w:val="000000"/>
                <w:kern w:val="0"/>
                <w:sz w:val="18"/>
                <w:szCs w:val="18"/>
                <w:lang w:val="en-US" w:eastAsia="zh-CN"/>
              </w:rPr>
            </w:pPr>
            <w:r>
              <w:rPr>
                <w:rFonts w:hint="eastAsia" w:ascii="仿宋_GB2312" w:hAnsi="宋体" w:eastAsia="仿宋_GB2312" w:cs="宋体"/>
                <w:b/>
                <w:bCs/>
                <w:color w:val="000000"/>
                <w:kern w:val="0"/>
                <w:sz w:val="18"/>
                <w:szCs w:val="18"/>
              </w:rPr>
              <w:t>物</w:t>
            </w:r>
            <w:r>
              <w:rPr>
                <w:rFonts w:hint="eastAsia" w:ascii="仿宋_GB2312" w:hAnsi="宋体" w:eastAsia="仿宋_GB2312" w:cs="宋体"/>
                <w:b/>
                <w:bCs/>
                <w:color w:val="000000"/>
                <w:kern w:val="0"/>
                <w:sz w:val="18"/>
                <w:szCs w:val="18"/>
                <w:lang w:val="en-US" w:eastAsia="zh-CN"/>
              </w:rPr>
              <w:t>料</w:t>
            </w:r>
            <w:r>
              <w:rPr>
                <w:rFonts w:hint="eastAsia" w:ascii="仿宋_GB2312" w:eastAsia="仿宋_GB2312" w:cs="宋体"/>
                <w:b/>
                <w:bCs/>
                <w:color w:val="000000"/>
                <w:kern w:val="0"/>
                <w:sz w:val="18"/>
                <w:szCs w:val="18"/>
                <w:lang w:val="en-US" w:eastAsia="zh-CN"/>
              </w:rPr>
              <w:t>及人工</w:t>
            </w:r>
          </w:p>
        </w:tc>
        <w:tc>
          <w:tcPr>
            <w:tcW w:w="2891" w:type="dxa"/>
            <w:tcBorders>
              <w:top w:val="single" w:color="000000" w:sz="8" w:space="0"/>
              <w:left w:val="nil"/>
              <w:bottom w:val="single" w:color="000000" w:sz="8" w:space="0"/>
              <w:right w:val="single" w:color="000000" w:sz="8" w:space="0"/>
            </w:tcBorders>
            <w:shd w:val="clear" w:color="auto" w:fill="auto"/>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eastAsia="仿宋_GB2312" w:cs="宋体"/>
                <w:b/>
                <w:bCs/>
                <w:color w:val="000000"/>
                <w:kern w:val="0"/>
                <w:sz w:val="18"/>
                <w:szCs w:val="18"/>
                <w:lang w:val="en-US" w:eastAsia="zh-CN"/>
              </w:rPr>
              <w:t>主要材质及</w:t>
            </w:r>
            <w:r>
              <w:rPr>
                <w:rFonts w:hint="eastAsia" w:ascii="仿宋_GB2312" w:hAnsi="宋体" w:eastAsia="仿宋_GB2312" w:cs="宋体"/>
                <w:b/>
                <w:bCs/>
                <w:color w:val="000000"/>
                <w:kern w:val="0"/>
                <w:sz w:val="18"/>
                <w:szCs w:val="18"/>
              </w:rPr>
              <w:t>规格</w:t>
            </w:r>
          </w:p>
        </w:tc>
        <w:tc>
          <w:tcPr>
            <w:tcW w:w="736" w:type="dxa"/>
            <w:tcBorders>
              <w:top w:val="single" w:color="000000" w:sz="8" w:space="0"/>
              <w:left w:val="nil"/>
              <w:bottom w:val="single" w:color="000000" w:sz="8" w:space="0"/>
              <w:right w:val="single" w:color="000000" w:sz="8"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单位</w:t>
            </w:r>
          </w:p>
        </w:tc>
        <w:tc>
          <w:tcPr>
            <w:tcW w:w="1173" w:type="dxa"/>
            <w:tcBorders>
              <w:top w:val="single" w:color="000000" w:sz="8" w:space="0"/>
              <w:left w:val="nil"/>
              <w:bottom w:val="single" w:color="000000" w:sz="8" w:space="0"/>
              <w:right w:val="single" w:color="000000" w:sz="8"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eastAsia="仿宋_GB2312" w:cs="宋体"/>
                <w:b/>
                <w:bCs/>
                <w:color w:val="000000"/>
                <w:kern w:val="0"/>
                <w:sz w:val="18"/>
                <w:szCs w:val="18"/>
                <w:lang w:val="en-US" w:eastAsia="zh-CN"/>
              </w:rPr>
              <w:t>暂定</w:t>
            </w:r>
            <w:r>
              <w:rPr>
                <w:rFonts w:hint="eastAsia" w:ascii="仿宋_GB2312" w:hAnsi="宋体" w:eastAsia="仿宋_GB2312" w:cs="宋体"/>
                <w:b/>
                <w:bCs/>
                <w:color w:val="000000"/>
                <w:kern w:val="0"/>
                <w:sz w:val="18"/>
                <w:szCs w:val="18"/>
              </w:rPr>
              <w:t>数量</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eastAsia="仿宋_GB2312" w:cs="宋体"/>
                <w:b/>
                <w:bCs/>
                <w:color w:val="000000"/>
                <w:kern w:val="0"/>
                <w:sz w:val="18"/>
                <w:szCs w:val="18"/>
                <w:lang w:val="en-US" w:eastAsia="zh-CN"/>
              </w:rPr>
              <w:t>综合</w:t>
            </w:r>
            <w:r>
              <w:rPr>
                <w:rFonts w:hint="eastAsia" w:ascii="仿宋_GB2312" w:hAnsi="宋体" w:eastAsia="仿宋_GB2312" w:cs="宋体"/>
                <w:b/>
                <w:bCs/>
                <w:color w:val="000000"/>
                <w:kern w:val="0"/>
                <w:sz w:val="18"/>
                <w:szCs w:val="18"/>
                <w:lang w:val="en-US" w:eastAsia="zh-CN"/>
              </w:rPr>
              <w:t>单</w:t>
            </w:r>
            <w:r>
              <w:rPr>
                <w:rFonts w:hint="eastAsia" w:ascii="仿宋_GB2312" w:hAnsi="宋体" w:eastAsia="仿宋_GB2312" w:cs="宋体"/>
                <w:b/>
                <w:bCs/>
                <w:color w:val="000000"/>
                <w:kern w:val="0"/>
                <w:sz w:val="18"/>
                <w:szCs w:val="18"/>
              </w:rPr>
              <w:t>价</w:t>
            </w:r>
          </w:p>
        </w:tc>
        <w:tc>
          <w:tcPr>
            <w:tcW w:w="1855" w:type="dxa"/>
            <w:tcBorders>
              <w:top w:val="single" w:color="000000" w:sz="8" w:space="0"/>
              <w:left w:val="nil"/>
              <w:bottom w:val="nil"/>
              <w:right w:val="single" w:color="000000" w:sz="8" w:space="0"/>
            </w:tcBorders>
            <w:shd w:val="clear" w:color="auto" w:fill="auto"/>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eastAsia="仿宋_GB2312" w:cs="宋体"/>
                <w:b/>
                <w:bCs/>
                <w:color w:val="000000"/>
                <w:kern w:val="0"/>
                <w:sz w:val="18"/>
                <w:szCs w:val="18"/>
                <w:lang w:val="en-US" w:eastAsia="zh-CN"/>
              </w:rPr>
              <w:t>含税9%</w:t>
            </w:r>
            <w:r>
              <w:rPr>
                <w:rFonts w:hint="eastAsia" w:ascii="仿宋_GB2312" w:hAnsi="宋体" w:eastAsia="仿宋_GB2312" w:cs="宋体"/>
                <w:b/>
                <w:bCs/>
                <w:color w:val="000000"/>
                <w:kern w:val="0"/>
                <w:sz w:val="18"/>
                <w:szCs w:val="18"/>
              </w:rPr>
              <w:t>金额（元）</w:t>
            </w:r>
          </w:p>
        </w:tc>
        <w:tc>
          <w:tcPr>
            <w:tcW w:w="2451" w:type="dxa"/>
            <w:tcBorders>
              <w:top w:val="single" w:color="000000" w:sz="8" w:space="0"/>
              <w:left w:val="nil"/>
              <w:bottom w:val="nil"/>
              <w:right w:val="single" w:color="000000" w:sz="8" w:space="0"/>
            </w:tcBorders>
            <w:shd w:val="clear" w:color="auto" w:fill="auto"/>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eastAsia="仿宋_GB2312" w:cs="宋体"/>
                <w:b/>
                <w:bCs/>
                <w:color w:val="000000"/>
                <w:kern w:val="0"/>
                <w:sz w:val="18"/>
                <w:szCs w:val="18"/>
                <w:lang w:val="en-US" w:eastAsia="zh-CN"/>
              </w:rPr>
              <w:t>内容</w:t>
            </w:r>
          </w:p>
        </w:tc>
      </w:tr>
      <w:tr>
        <w:tblPrEx>
          <w:tblCellMar>
            <w:top w:w="0" w:type="dxa"/>
            <w:left w:w="108" w:type="dxa"/>
            <w:bottom w:w="0" w:type="dxa"/>
            <w:right w:w="108" w:type="dxa"/>
          </w:tblCellMar>
        </w:tblPrEx>
        <w:trPr>
          <w:trHeight w:val="384" w:hRule="atLeast"/>
          <w:jc w:val="center"/>
        </w:trPr>
        <w:tc>
          <w:tcPr>
            <w:tcW w:w="1145" w:type="dxa"/>
            <w:tcBorders>
              <w:top w:val="nil"/>
              <w:left w:val="single" w:color="000000" w:sz="8" w:space="0"/>
              <w:bottom w:val="single" w:color="000000" w:sz="8" w:space="0"/>
              <w:right w:val="single" w:color="000000" w:sz="8"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17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钢板</w:t>
            </w:r>
          </w:p>
        </w:tc>
        <w:tc>
          <w:tcPr>
            <w:tcW w:w="2891"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ascii="等线" w:hAnsi="等线" w:eastAsia="等线" w:cs="宋体"/>
                <w:b/>
                <w:bCs/>
                <w:color w:val="000000"/>
                <w:kern w:val="0"/>
                <w:sz w:val="18"/>
                <w:szCs w:val="18"/>
                <w:highlight w:val="none"/>
                <w:lang w:val="en-US"/>
              </w:rPr>
            </w:pPr>
            <w:r>
              <w:rPr>
                <w:rFonts w:hint="eastAsia" w:ascii="宋体" w:hAnsi="宋体" w:eastAsia="宋体" w:cs="宋体"/>
                <w:i w:val="0"/>
                <w:color w:val="000000"/>
                <w:kern w:val="0"/>
                <w:sz w:val="18"/>
                <w:szCs w:val="18"/>
                <w:highlight w:val="none"/>
                <w:u w:val="none"/>
                <w:lang w:val="en-US" w:eastAsia="zh-CN" w:bidi="ar"/>
              </w:rPr>
              <w:t>国标Q235B，20mm</w:t>
            </w:r>
          </w:p>
        </w:tc>
        <w:tc>
          <w:tcPr>
            <w:tcW w:w="736" w:type="dxa"/>
            <w:vMerge w:val="restart"/>
            <w:tcBorders>
              <w:top w:val="nil"/>
              <w:left w:val="nil"/>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吨</w:t>
            </w:r>
          </w:p>
        </w:tc>
        <w:tc>
          <w:tcPr>
            <w:tcW w:w="1173" w:type="dxa"/>
            <w:vMerge w:val="restart"/>
            <w:tcBorders>
              <w:top w:val="nil"/>
              <w:left w:val="nil"/>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cs="宋体"/>
                <w:i w:val="0"/>
                <w:color w:val="000000"/>
                <w:kern w:val="0"/>
                <w:sz w:val="18"/>
                <w:szCs w:val="18"/>
                <w:highlight w:val="none"/>
                <w:u w:val="none"/>
                <w:lang w:val="en-US" w:eastAsia="zh-CN" w:bidi="ar"/>
              </w:rPr>
              <w:t>7</w:t>
            </w:r>
          </w:p>
        </w:tc>
        <w:tc>
          <w:tcPr>
            <w:tcW w:w="1230" w:type="dxa"/>
            <w:vMerge w:val="restart"/>
            <w:tcBorders>
              <w:top w:val="nil"/>
              <w:left w:val="nil"/>
              <w:right w:val="nil"/>
            </w:tcBorders>
            <w:shd w:val="clear" w:color="auto" w:fill="auto"/>
            <w:vAlign w:val="center"/>
          </w:tcPr>
          <w:p>
            <w:pPr>
              <w:widowControl/>
              <w:jc w:val="center"/>
              <w:rPr>
                <w:rFonts w:hint="eastAsia" w:ascii="仿宋_GB2312" w:hAnsi="宋体" w:eastAsia="仿宋_GB2312" w:cs="宋体"/>
                <w:b/>
                <w:bCs/>
                <w:color w:val="FF0000"/>
                <w:kern w:val="0"/>
                <w:sz w:val="18"/>
                <w:szCs w:val="18"/>
                <w:highlight w:val="none"/>
              </w:rPr>
            </w:pPr>
          </w:p>
        </w:tc>
        <w:tc>
          <w:tcPr>
            <w:tcW w:w="185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FF0000"/>
                <w:kern w:val="0"/>
                <w:sz w:val="18"/>
                <w:szCs w:val="18"/>
                <w:highlight w:val="none"/>
              </w:rPr>
            </w:pPr>
          </w:p>
        </w:tc>
        <w:tc>
          <w:tcPr>
            <w:tcW w:w="2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kern w:val="0"/>
                <w:sz w:val="16"/>
                <w:szCs w:val="16"/>
                <w:lang w:val="en-US" w:eastAsia="zh-CN"/>
              </w:rPr>
            </w:pPr>
            <w:r>
              <w:rPr>
                <w:rFonts w:hint="eastAsia" w:ascii="宋体" w:hAnsi="宋体" w:eastAsia="宋体" w:cs="宋体"/>
                <w:i w:val="0"/>
                <w:color w:val="000000"/>
                <w:kern w:val="0"/>
                <w:sz w:val="18"/>
                <w:szCs w:val="18"/>
                <w:u w:val="none"/>
                <w:lang w:val="en-US" w:eastAsia="zh-CN" w:bidi="ar"/>
              </w:rPr>
              <w:t>制作并安装滚筛料斗</w:t>
            </w:r>
            <w:r>
              <w:rPr>
                <w:rFonts w:hint="eastAsia" w:cs="宋体"/>
                <w:i w:val="0"/>
                <w:color w:val="000000"/>
                <w:kern w:val="0"/>
                <w:sz w:val="18"/>
                <w:szCs w:val="18"/>
                <w:u w:val="none"/>
                <w:lang w:val="en-US" w:eastAsia="zh-CN" w:bidi="ar"/>
              </w:rPr>
              <w:t>1个</w:t>
            </w:r>
          </w:p>
        </w:tc>
      </w:tr>
      <w:tr>
        <w:tblPrEx>
          <w:tblCellMar>
            <w:top w:w="0" w:type="dxa"/>
            <w:left w:w="108" w:type="dxa"/>
            <w:bottom w:w="0" w:type="dxa"/>
            <w:right w:w="108" w:type="dxa"/>
          </w:tblCellMar>
        </w:tblPrEx>
        <w:trPr>
          <w:trHeight w:val="371" w:hRule="atLeast"/>
          <w:jc w:val="center"/>
        </w:trPr>
        <w:tc>
          <w:tcPr>
            <w:tcW w:w="1145" w:type="dxa"/>
            <w:tcBorders>
              <w:top w:val="nil"/>
              <w:left w:val="single" w:color="000000" w:sz="8" w:space="0"/>
              <w:bottom w:val="single" w:color="000000" w:sz="8" w:space="0"/>
              <w:right w:val="single" w:color="000000" w:sz="8"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17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钢板</w:t>
            </w:r>
          </w:p>
        </w:tc>
        <w:tc>
          <w:tcPr>
            <w:tcW w:w="2891"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ascii="等线" w:hAnsi="等线" w:eastAsia="等线" w:cs="宋体"/>
                <w:b/>
                <w:bCs/>
                <w:color w:val="000000"/>
                <w:kern w:val="0"/>
                <w:sz w:val="18"/>
                <w:szCs w:val="18"/>
                <w:highlight w:val="none"/>
                <w:lang w:val="en-US"/>
              </w:rPr>
            </w:pPr>
            <w:r>
              <w:rPr>
                <w:rFonts w:hint="eastAsia" w:ascii="宋体" w:hAnsi="宋体" w:eastAsia="宋体" w:cs="宋体"/>
                <w:i w:val="0"/>
                <w:color w:val="000000"/>
                <w:kern w:val="0"/>
                <w:sz w:val="18"/>
                <w:szCs w:val="18"/>
                <w:highlight w:val="none"/>
                <w:u w:val="none"/>
                <w:lang w:val="en-US" w:eastAsia="zh-CN" w:bidi="ar"/>
              </w:rPr>
              <w:t>国标Q235B，</w:t>
            </w:r>
            <w:r>
              <w:rPr>
                <w:rFonts w:hint="eastAsia" w:cs="宋体"/>
                <w:i w:val="0"/>
                <w:color w:val="000000"/>
                <w:kern w:val="0"/>
                <w:sz w:val="18"/>
                <w:szCs w:val="18"/>
                <w:highlight w:val="none"/>
                <w:u w:val="none"/>
                <w:lang w:val="en-US" w:eastAsia="zh-CN" w:bidi="ar"/>
              </w:rPr>
              <w:t>厚度：</w:t>
            </w:r>
            <w:r>
              <w:rPr>
                <w:rFonts w:hint="eastAsia" w:ascii="宋体" w:hAnsi="宋体" w:eastAsia="宋体" w:cs="宋体"/>
                <w:i w:val="0"/>
                <w:color w:val="000000"/>
                <w:kern w:val="0"/>
                <w:sz w:val="18"/>
                <w:szCs w:val="18"/>
                <w:highlight w:val="none"/>
                <w:u w:val="none"/>
                <w:lang w:val="en-US" w:eastAsia="zh-CN" w:bidi="ar"/>
              </w:rPr>
              <w:t>12mm</w:t>
            </w:r>
          </w:p>
        </w:tc>
        <w:tc>
          <w:tcPr>
            <w:tcW w:w="736" w:type="dxa"/>
            <w:vMerge w:val="continue"/>
            <w:tcBorders>
              <w:left w:val="nil"/>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p>
        </w:tc>
        <w:tc>
          <w:tcPr>
            <w:tcW w:w="1173" w:type="dxa"/>
            <w:vMerge w:val="continue"/>
            <w:tcBorders>
              <w:left w:val="nil"/>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highlight w:val="none"/>
                <w:u w:val="none"/>
                <w:lang w:val="en-US" w:eastAsia="zh-CN" w:bidi="ar"/>
              </w:rPr>
            </w:pPr>
          </w:p>
        </w:tc>
        <w:tc>
          <w:tcPr>
            <w:tcW w:w="1230" w:type="dxa"/>
            <w:vMerge w:val="continue"/>
            <w:tcBorders>
              <w:left w:val="nil"/>
              <w:right w:val="nil"/>
            </w:tcBorders>
            <w:shd w:val="clear" w:color="auto" w:fill="auto"/>
            <w:vAlign w:val="center"/>
          </w:tcPr>
          <w:p>
            <w:pPr>
              <w:widowControl/>
              <w:jc w:val="center"/>
              <w:rPr>
                <w:rFonts w:hint="eastAsia" w:ascii="仿宋_GB2312" w:hAnsi="宋体" w:eastAsia="仿宋_GB2312" w:cs="宋体"/>
                <w:b/>
                <w:bCs/>
                <w:color w:val="FF0000"/>
                <w:kern w:val="0"/>
                <w:sz w:val="18"/>
                <w:szCs w:val="18"/>
                <w:highlight w:val="none"/>
              </w:rPr>
            </w:pPr>
          </w:p>
        </w:tc>
        <w:tc>
          <w:tcPr>
            <w:tcW w:w="1855" w:type="dxa"/>
            <w:vMerge w:val="continue"/>
            <w:tcBorders>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FF0000"/>
                <w:kern w:val="0"/>
                <w:sz w:val="18"/>
                <w:szCs w:val="18"/>
                <w:highlight w:val="none"/>
              </w:rPr>
            </w:pPr>
          </w:p>
        </w:tc>
        <w:tc>
          <w:tcPr>
            <w:tcW w:w="245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宋体"/>
                <w:b/>
                <w:bCs/>
                <w:color w:val="000000"/>
                <w:kern w:val="0"/>
                <w:sz w:val="15"/>
                <w:szCs w:val="15"/>
                <w:lang w:val="en-US"/>
              </w:rPr>
            </w:pPr>
            <w:r>
              <w:rPr>
                <w:rFonts w:hint="eastAsia" w:cs="宋体"/>
                <w:i w:val="0"/>
                <w:color w:val="000000"/>
                <w:kern w:val="0"/>
                <w:sz w:val="18"/>
                <w:szCs w:val="18"/>
                <w:u w:val="none"/>
                <w:lang w:val="en-US" w:eastAsia="zh-CN" w:bidi="ar"/>
              </w:rPr>
              <w:t>制作</w:t>
            </w:r>
            <w:r>
              <w:rPr>
                <w:rFonts w:hint="eastAsia" w:ascii="宋体" w:hAnsi="宋体" w:eastAsia="宋体" w:cs="宋体"/>
                <w:i w:val="0"/>
                <w:color w:val="000000"/>
                <w:kern w:val="0"/>
                <w:sz w:val="18"/>
                <w:szCs w:val="18"/>
                <w:u w:val="none"/>
                <w:lang w:val="en-US" w:eastAsia="zh-CN" w:bidi="ar"/>
              </w:rPr>
              <w:t>并安装</w:t>
            </w:r>
            <w:r>
              <w:rPr>
                <w:rFonts w:hint="eastAsia" w:cs="宋体"/>
                <w:i w:val="0"/>
                <w:color w:val="000000"/>
                <w:kern w:val="0"/>
                <w:sz w:val="18"/>
                <w:szCs w:val="18"/>
                <w:u w:val="none"/>
                <w:lang w:val="en-US" w:eastAsia="zh-CN" w:bidi="ar"/>
              </w:rPr>
              <w:t>支撑腿上下底板</w:t>
            </w:r>
          </w:p>
        </w:tc>
      </w:tr>
      <w:tr>
        <w:tblPrEx>
          <w:tblCellMar>
            <w:top w:w="0" w:type="dxa"/>
            <w:left w:w="108" w:type="dxa"/>
            <w:bottom w:w="0" w:type="dxa"/>
            <w:right w:w="108" w:type="dxa"/>
          </w:tblCellMar>
        </w:tblPrEx>
        <w:trPr>
          <w:trHeight w:val="380" w:hRule="atLeast"/>
          <w:jc w:val="center"/>
        </w:trPr>
        <w:tc>
          <w:tcPr>
            <w:tcW w:w="1145" w:type="dxa"/>
            <w:tcBorders>
              <w:top w:val="nil"/>
              <w:left w:val="single" w:color="000000" w:sz="8" w:space="0"/>
              <w:bottom w:val="single" w:color="000000" w:sz="8" w:space="0"/>
              <w:right w:val="single" w:color="000000" w:sz="8"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highlight w:val="none"/>
                <w:lang w:eastAsia="zh-CN"/>
              </w:rPr>
            </w:pPr>
            <w:r>
              <w:rPr>
                <w:rFonts w:hint="eastAsia" w:hAnsi="宋体" w:cs="宋体"/>
                <w:b/>
                <w:bCs/>
                <w:color w:val="000000"/>
                <w:kern w:val="0"/>
                <w:sz w:val="18"/>
                <w:szCs w:val="18"/>
                <w:highlight w:val="none"/>
                <w:lang w:val="en-US" w:eastAsia="zh-CN"/>
              </w:rPr>
              <w:t>3</w:t>
            </w:r>
          </w:p>
        </w:tc>
        <w:tc>
          <w:tcPr>
            <w:tcW w:w="17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H型钢</w:t>
            </w:r>
          </w:p>
        </w:tc>
        <w:tc>
          <w:tcPr>
            <w:tcW w:w="289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国标H*B=400*200mm，L=12M</w:t>
            </w:r>
          </w:p>
        </w:tc>
        <w:tc>
          <w:tcPr>
            <w:tcW w:w="736" w:type="dxa"/>
            <w:vMerge w:val="continue"/>
            <w:tcBorders>
              <w:left w:val="nil"/>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p>
        </w:tc>
        <w:tc>
          <w:tcPr>
            <w:tcW w:w="1173" w:type="dxa"/>
            <w:vMerge w:val="continue"/>
            <w:tcBorders>
              <w:left w:val="nil"/>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highlight w:val="none"/>
                <w:u w:val="none"/>
                <w:lang w:val="en-US" w:eastAsia="zh-CN" w:bidi="ar"/>
              </w:rPr>
            </w:pPr>
          </w:p>
        </w:tc>
        <w:tc>
          <w:tcPr>
            <w:tcW w:w="1230" w:type="dxa"/>
            <w:vMerge w:val="continue"/>
            <w:tcBorders>
              <w:left w:val="nil"/>
              <w:right w:val="nil"/>
            </w:tcBorders>
            <w:shd w:val="clear" w:color="auto" w:fill="auto"/>
            <w:vAlign w:val="center"/>
          </w:tcPr>
          <w:p>
            <w:pPr>
              <w:widowControl/>
              <w:jc w:val="center"/>
              <w:rPr>
                <w:rFonts w:hint="eastAsia" w:ascii="仿宋_GB2312" w:hAnsi="宋体" w:eastAsia="仿宋_GB2312" w:cs="宋体"/>
                <w:b/>
                <w:bCs/>
                <w:color w:val="000000"/>
                <w:kern w:val="0"/>
                <w:sz w:val="18"/>
                <w:szCs w:val="18"/>
                <w:highlight w:val="none"/>
              </w:rPr>
            </w:pPr>
          </w:p>
        </w:tc>
        <w:tc>
          <w:tcPr>
            <w:tcW w:w="1855" w:type="dxa"/>
            <w:vMerge w:val="continue"/>
            <w:tcBorders>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18"/>
                <w:szCs w:val="18"/>
                <w:highlight w:val="none"/>
              </w:rPr>
            </w:pPr>
          </w:p>
        </w:tc>
        <w:tc>
          <w:tcPr>
            <w:tcW w:w="2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宋体"/>
                <w:b/>
                <w:bCs/>
                <w:color w:val="000000"/>
                <w:kern w:val="0"/>
                <w:sz w:val="16"/>
                <w:szCs w:val="16"/>
                <w:highlight w:val="yellow"/>
                <w:lang w:val="en-US"/>
              </w:rPr>
            </w:pPr>
            <w:r>
              <w:rPr>
                <w:rFonts w:hint="eastAsia" w:cs="宋体"/>
                <w:i w:val="0"/>
                <w:color w:val="000000"/>
                <w:kern w:val="0"/>
                <w:sz w:val="18"/>
                <w:szCs w:val="18"/>
                <w:u w:val="none"/>
                <w:lang w:val="en-US" w:eastAsia="zh-CN" w:bidi="ar"/>
              </w:rPr>
              <w:t>制作</w:t>
            </w:r>
            <w:r>
              <w:rPr>
                <w:rFonts w:hint="eastAsia" w:ascii="宋体" w:hAnsi="宋体" w:eastAsia="宋体" w:cs="宋体"/>
                <w:i w:val="0"/>
                <w:color w:val="000000"/>
                <w:kern w:val="0"/>
                <w:sz w:val="18"/>
                <w:szCs w:val="18"/>
                <w:u w:val="none"/>
                <w:lang w:val="en-US" w:eastAsia="zh-CN" w:bidi="ar"/>
              </w:rPr>
              <w:t>并安装支撑腿</w:t>
            </w:r>
            <w:r>
              <w:rPr>
                <w:rFonts w:hint="eastAsia" w:cs="宋体"/>
                <w:i w:val="0"/>
                <w:color w:val="000000"/>
                <w:kern w:val="0"/>
                <w:sz w:val="18"/>
                <w:szCs w:val="18"/>
                <w:u w:val="none"/>
                <w:lang w:val="en-US" w:eastAsia="zh-CN" w:bidi="ar"/>
              </w:rPr>
              <w:t>4根</w:t>
            </w:r>
          </w:p>
        </w:tc>
      </w:tr>
      <w:tr>
        <w:tblPrEx>
          <w:tblCellMar>
            <w:top w:w="0" w:type="dxa"/>
            <w:left w:w="108" w:type="dxa"/>
            <w:bottom w:w="0" w:type="dxa"/>
            <w:right w:w="108" w:type="dxa"/>
          </w:tblCellMar>
        </w:tblPrEx>
        <w:trPr>
          <w:trHeight w:val="380" w:hRule="atLeast"/>
          <w:jc w:val="center"/>
        </w:trPr>
        <w:tc>
          <w:tcPr>
            <w:tcW w:w="1145" w:type="dxa"/>
            <w:tcBorders>
              <w:top w:val="nil"/>
              <w:left w:val="single" w:color="000000" w:sz="8" w:space="0"/>
              <w:bottom w:val="single" w:color="auto" w:sz="4" w:space="0"/>
              <w:right w:val="single" w:color="000000" w:sz="8"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highlight w:val="none"/>
                <w:lang w:val="en-US" w:eastAsia="zh-CN"/>
              </w:rPr>
            </w:pPr>
            <w:r>
              <w:rPr>
                <w:rFonts w:hint="eastAsia" w:hAnsi="宋体" w:cs="宋体"/>
                <w:b/>
                <w:bCs/>
                <w:color w:val="000000"/>
                <w:kern w:val="0"/>
                <w:sz w:val="18"/>
                <w:szCs w:val="18"/>
                <w:highlight w:val="none"/>
                <w:lang w:val="en-US" w:eastAsia="zh-CN"/>
              </w:rPr>
              <w:t>4</w:t>
            </w:r>
          </w:p>
        </w:tc>
        <w:tc>
          <w:tcPr>
            <w:tcW w:w="170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H型钢</w:t>
            </w:r>
          </w:p>
        </w:tc>
        <w:tc>
          <w:tcPr>
            <w:tcW w:w="2891" w:type="dxa"/>
            <w:tcBorders>
              <w:top w:val="nil"/>
              <w:left w:val="nil"/>
              <w:bottom w:val="single" w:color="auto" w:sz="4" w:space="0"/>
              <w:right w:val="single" w:color="000000" w:sz="8" w:space="0"/>
            </w:tcBorders>
            <w:shd w:val="clear" w:color="auto" w:fill="auto"/>
            <w:noWrap/>
            <w:vAlign w:val="center"/>
          </w:tcPr>
          <w:p>
            <w:pPr>
              <w:widowControl/>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国标H*B=200*100mm，L=12M</w:t>
            </w:r>
          </w:p>
        </w:tc>
        <w:tc>
          <w:tcPr>
            <w:tcW w:w="736" w:type="dxa"/>
            <w:vMerge w:val="continue"/>
            <w:tcBorders>
              <w:left w:val="nil"/>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highlight w:val="none"/>
                <w:u w:val="none"/>
                <w:lang w:val="en-US" w:eastAsia="zh-CN" w:bidi="ar"/>
              </w:rPr>
            </w:pPr>
          </w:p>
        </w:tc>
        <w:tc>
          <w:tcPr>
            <w:tcW w:w="1173" w:type="dxa"/>
            <w:vMerge w:val="continue"/>
            <w:tcBorders>
              <w:left w:val="nil"/>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highlight w:val="none"/>
                <w:u w:val="none"/>
                <w:lang w:val="en-US" w:eastAsia="zh-CN" w:bidi="ar"/>
              </w:rPr>
            </w:pPr>
          </w:p>
        </w:tc>
        <w:tc>
          <w:tcPr>
            <w:tcW w:w="1230" w:type="dxa"/>
            <w:vMerge w:val="continue"/>
            <w:tcBorders>
              <w:left w:val="nil"/>
              <w:right w:val="nil"/>
            </w:tcBorders>
            <w:shd w:val="clear" w:color="auto" w:fill="auto"/>
            <w:vAlign w:val="center"/>
          </w:tcPr>
          <w:p>
            <w:pPr>
              <w:widowControl/>
              <w:jc w:val="center"/>
              <w:rPr>
                <w:rFonts w:hint="eastAsia" w:ascii="仿宋_GB2312" w:hAnsi="宋体" w:eastAsia="仿宋_GB2312" w:cs="宋体"/>
                <w:b/>
                <w:bCs/>
                <w:color w:val="000000"/>
                <w:kern w:val="0"/>
                <w:sz w:val="18"/>
                <w:szCs w:val="18"/>
                <w:highlight w:val="none"/>
              </w:rPr>
            </w:pPr>
          </w:p>
        </w:tc>
        <w:tc>
          <w:tcPr>
            <w:tcW w:w="1855" w:type="dxa"/>
            <w:vMerge w:val="continue"/>
            <w:tcBorders>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18"/>
                <w:szCs w:val="18"/>
                <w:highlight w:val="none"/>
              </w:rPr>
            </w:pPr>
          </w:p>
        </w:tc>
        <w:tc>
          <w:tcPr>
            <w:tcW w:w="245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highlight w:val="yellow"/>
                <w:u w:val="none"/>
                <w:lang w:val="en-US" w:eastAsia="zh-CN" w:bidi="ar"/>
              </w:rPr>
            </w:pPr>
            <w:r>
              <w:rPr>
                <w:rFonts w:hint="eastAsia" w:cs="宋体"/>
                <w:i w:val="0"/>
                <w:color w:val="000000"/>
                <w:kern w:val="0"/>
                <w:sz w:val="18"/>
                <w:szCs w:val="18"/>
                <w:u w:val="none"/>
                <w:lang w:val="en-US" w:eastAsia="zh-CN" w:bidi="ar"/>
              </w:rPr>
              <w:t>制作</w:t>
            </w:r>
            <w:r>
              <w:rPr>
                <w:rFonts w:hint="eastAsia" w:ascii="宋体" w:hAnsi="宋体" w:eastAsia="宋体" w:cs="宋体"/>
                <w:i w:val="0"/>
                <w:color w:val="000000"/>
                <w:kern w:val="0"/>
                <w:sz w:val="18"/>
                <w:szCs w:val="18"/>
                <w:u w:val="none"/>
                <w:lang w:val="en-US" w:eastAsia="zh-CN" w:bidi="ar"/>
              </w:rPr>
              <w:t>并安装支撑腿</w:t>
            </w:r>
            <w:r>
              <w:rPr>
                <w:rFonts w:hint="eastAsia" w:cs="宋体"/>
                <w:i w:val="0"/>
                <w:color w:val="000000"/>
                <w:kern w:val="0"/>
                <w:sz w:val="18"/>
                <w:szCs w:val="18"/>
                <w:u w:val="none"/>
                <w:lang w:val="en-US" w:eastAsia="zh-CN" w:bidi="ar"/>
              </w:rPr>
              <w:t>横</w:t>
            </w:r>
            <w:r>
              <w:rPr>
                <w:rFonts w:hint="eastAsia" w:ascii="宋体" w:hAnsi="宋体" w:eastAsia="宋体" w:cs="宋体"/>
                <w:i w:val="0"/>
                <w:color w:val="000000"/>
                <w:kern w:val="0"/>
                <w:sz w:val="18"/>
                <w:szCs w:val="18"/>
                <w:u w:val="none"/>
                <w:lang w:val="en-US" w:eastAsia="zh-CN" w:bidi="ar"/>
              </w:rPr>
              <w:t>撑</w:t>
            </w:r>
          </w:p>
        </w:tc>
      </w:tr>
      <w:tr>
        <w:tblPrEx>
          <w:tblCellMar>
            <w:top w:w="0" w:type="dxa"/>
            <w:left w:w="108" w:type="dxa"/>
            <w:bottom w:w="0" w:type="dxa"/>
            <w:right w:w="108" w:type="dxa"/>
          </w:tblCellMar>
        </w:tblPrEx>
        <w:trPr>
          <w:trHeight w:val="432" w:hRule="atLeast"/>
          <w:jc w:val="center"/>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仿宋_GB2312" w:hAnsi="宋体" w:eastAsia="仿宋_GB2312" w:cs="宋体"/>
                <w:b/>
                <w:bCs/>
                <w:color w:val="000000"/>
                <w:kern w:val="0"/>
                <w:sz w:val="18"/>
                <w:szCs w:val="18"/>
                <w:lang w:eastAsia="zh-CN"/>
              </w:rPr>
            </w:pPr>
            <w:r>
              <w:rPr>
                <w:rFonts w:hint="eastAsia" w:hAnsi="宋体" w:cs="宋体"/>
                <w:b/>
                <w:bCs/>
                <w:color w:val="000000"/>
                <w:kern w:val="0"/>
                <w:sz w:val="18"/>
                <w:szCs w:val="18"/>
                <w:lang w:val="en-US" w:eastAsia="zh-CN"/>
              </w:rPr>
              <w:t>5</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无缝钢管</w:t>
            </w:r>
          </w:p>
        </w:tc>
        <w:tc>
          <w:tcPr>
            <w:tcW w:w="28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国标外径1</w:t>
            </w:r>
            <w:r>
              <w:rPr>
                <w:rFonts w:hint="eastAsia" w:cs="宋体"/>
                <w:i w:val="0"/>
                <w:color w:val="000000"/>
                <w:kern w:val="0"/>
                <w:sz w:val="18"/>
                <w:szCs w:val="18"/>
                <w:highlight w:val="none"/>
                <w:u w:val="none"/>
                <w:lang w:val="en-US" w:eastAsia="zh-CN" w:bidi="ar"/>
              </w:rPr>
              <w:t>80</w:t>
            </w:r>
            <w:r>
              <w:rPr>
                <w:rFonts w:hint="eastAsia" w:ascii="宋体" w:hAnsi="宋体" w:eastAsia="宋体" w:cs="宋体"/>
                <w:i w:val="0"/>
                <w:color w:val="000000"/>
                <w:kern w:val="0"/>
                <w:sz w:val="18"/>
                <w:szCs w:val="18"/>
                <w:highlight w:val="none"/>
                <w:u w:val="none"/>
                <w:lang w:val="en-US" w:eastAsia="zh-CN" w:bidi="ar"/>
              </w:rPr>
              <w:t>mm，L=7M,壁厚15mm</w:t>
            </w:r>
          </w:p>
        </w:tc>
        <w:tc>
          <w:tcPr>
            <w:tcW w:w="736" w:type="dxa"/>
            <w:vMerge w:val="continue"/>
            <w:tcBorders>
              <w:left w:val="nil"/>
              <w:bottom w:val="single" w:color="auto" w:sz="4"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等线" w:hAnsi="等线" w:eastAsia="等线" w:cs="宋体"/>
                <w:b/>
                <w:bCs/>
                <w:color w:val="000000"/>
                <w:kern w:val="0"/>
                <w:sz w:val="18"/>
                <w:szCs w:val="18"/>
                <w:highlight w:val="none"/>
              </w:rPr>
            </w:pPr>
          </w:p>
        </w:tc>
        <w:tc>
          <w:tcPr>
            <w:tcW w:w="1173" w:type="dxa"/>
            <w:vMerge w:val="continue"/>
            <w:tcBorders>
              <w:left w:val="nil"/>
              <w:bottom w:val="single" w:color="auto" w:sz="4"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等线" w:hAnsi="等线" w:eastAsia="等线" w:cs="宋体"/>
                <w:b/>
                <w:bCs/>
                <w:color w:val="000000"/>
                <w:kern w:val="0"/>
                <w:sz w:val="18"/>
                <w:szCs w:val="18"/>
                <w:highlight w:val="none"/>
                <w:lang w:val="en-US"/>
              </w:rPr>
            </w:pPr>
          </w:p>
        </w:tc>
        <w:tc>
          <w:tcPr>
            <w:tcW w:w="1230" w:type="dxa"/>
            <w:vMerge w:val="continue"/>
            <w:tcBorders>
              <w:left w:val="nil"/>
              <w:bottom w:val="single" w:color="auto" w:sz="4" w:space="0"/>
              <w:right w:val="nil"/>
            </w:tcBorders>
            <w:shd w:val="clear" w:color="auto" w:fill="auto"/>
            <w:vAlign w:val="center"/>
          </w:tcPr>
          <w:p>
            <w:pPr>
              <w:widowControl/>
              <w:jc w:val="center"/>
              <w:rPr>
                <w:rFonts w:hint="eastAsia" w:ascii="仿宋_GB2312" w:hAnsi="宋体" w:eastAsia="仿宋_GB2312" w:cs="宋体"/>
                <w:b/>
                <w:bCs/>
                <w:color w:val="000000"/>
                <w:kern w:val="0"/>
                <w:sz w:val="18"/>
                <w:szCs w:val="18"/>
                <w:highlight w:val="none"/>
              </w:rPr>
            </w:pPr>
          </w:p>
        </w:tc>
        <w:tc>
          <w:tcPr>
            <w:tcW w:w="185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18"/>
                <w:szCs w:val="18"/>
                <w:highlight w:val="none"/>
              </w:rPr>
            </w:pPr>
          </w:p>
        </w:tc>
        <w:tc>
          <w:tcPr>
            <w:tcW w:w="2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宋体"/>
                <w:b/>
                <w:bCs/>
                <w:color w:val="000000"/>
                <w:kern w:val="0"/>
                <w:sz w:val="16"/>
                <w:szCs w:val="16"/>
                <w:lang w:val="en-US"/>
              </w:rPr>
            </w:pPr>
            <w:r>
              <w:rPr>
                <w:rFonts w:hint="eastAsia" w:cs="宋体"/>
                <w:i w:val="0"/>
                <w:color w:val="000000"/>
                <w:kern w:val="0"/>
                <w:sz w:val="18"/>
                <w:szCs w:val="18"/>
                <w:u w:val="none"/>
                <w:lang w:val="en-US" w:eastAsia="zh-CN" w:bidi="ar"/>
              </w:rPr>
              <w:t>更换损坏件</w:t>
            </w:r>
          </w:p>
        </w:tc>
      </w:tr>
      <w:tr>
        <w:tblPrEx>
          <w:tblCellMar>
            <w:top w:w="0" w:type="dxa"/>
            <w:left w:w="108" w:type="dxa"/>
            <w:bottom w:w="0" w:type="dxa"/>
            <w:right w:w="108" w:type="dxa"/>
          </w:tblCellMar>
        </w:tblPrEx>
        <w:trPr>
          <w:trHeight w:val="383" w:hRule="atLeast"/>
          <w:jc w:val="center"/>
        </w:trPr>
        <w:tc>
          <w:tcPr>
            <w:tcW w:w="1145"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ind w:left="0" w:leftChars="0" w:firstLine="0" w:firstLineChars="0"/>
              <w:jc w:val="center"/>
              <w:rPr>
                <w:rFonts w:hint="default" w:cs="宋体"/>
                <w:b/>
                <w:bCs/>
                <w:color w:val="000000"/>
                <w:kern w:val="0"/>
                <w:sz w:val="18"/>
                <w:szCs w:val="18"/>
                <w:lang w:val="en-US" w:eastAsia="zh-CN"/>
              </w:rPr>
            </w:pPr>
            <w:r>
              <w:rPr>
                <w:rFonts w:hint="eastAsia" w:cs="宋体"/>
                <w:b/>
                <w:bCs/>
                <w:color w:val="000000"/>
                <w:kern w:val="0"/>
                <w:sz w:val="18"/>
                <w:szCs w:val="18"/>
                <w:lang w:val="en-US" w:eastAsia="zh-CN"/>
              </w:rPr>
              <w:t>人民币大写</w:t>
            </w:r>
          </w:p>
        </w:tc>
        <w:tc>
          <w:tcPr>
            <w:tcW w:w="12041" w:type="dxa"/>
            <w:gridSpan w:val="7"/>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cs="宋体"/>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613" w:hRule="atLeast"/>
          <w:jc w:val="center"/>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cs="宋体"/>
                <w:b/>
                <w:bCs/>
                <w:color w:val="000000"/>
                <w:kern w:val="0"/>
                <w:sz w:val="18"/>
                <w:szCs w:val="18"/>
                <w:lang w:val="en-US" w:eastAsia="zh-CN"/>
              </w:rPr>
            </w:pPr>
            <w:r>
              <w:rPr>
                <w:rFonts w:hint="eastAsia" w:cs="宋体"/>
                <w:b/>
                <w:bCs/>
                <w:color w:val="000000"/>
                <w:kern w:val="0"/>
                <w:sz w:val="18"/>
                <w:szCs w:val="18"/>
                <w:lang w:val="en-US" w:eastAsia="zh-CN"/>
              </w:rPr>
              <w:t>备注</w:t>
            </w:r>
          </w:p>
        </w:tc>
        <w:tc>
          <w:tcPr>
            <w:tcW w:w="1204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both"/>
              <w:textAlignment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w:t>
            </w:r>
            <w:r>
              <w:rPr>
                <w:rFonts w:hint="default" w:cs="宋体"/>
                <w:i w:val="0"/>
                <w:color w:val="000000"/>
                <w:kern w:val="0"/>
                <w:sz w:val="18"/>
                <w:szCs w:val="18"/>
                <w:u w:val="none"/>
                <w:lang w:val="en-US" w:eastAsia="zh-CN" w:bidi="ar"/>
              </w:rPr>
              <w:t>综合单价</w:t>
            </w:r>
            <w:r>
              <w:rPr>
                <w:rFonts w:hint="eastAsia" w:cs="宋体"/>
                <w:i w:val="0"/>
                <w:color w:val="000000"/>
                <w:kern w:val="0"/>
                <w:sz w:val="18"/>
                <w:szCs w:val="18"/>
                <w:u w:val="none"/>
                <w:lang w:val="en-US" w:eastAsia="zh-CN" w:bidi="ar"/>
              </w:rPr>
              <w:t>：</w:t>
            </w:r>
            <w:r>
              <w:rPr>
                <w:rFonts w:hint="default" w:cs="宋体"/>
                <w:i w:val="0"/>
                <w:color w:val="000000"/>
                <w:kern w:val="0"/>
                <w:sz w:val="18"/>
                <w:szCs w:val="18"/>
                <w:u w:val="none"/>
                <w:lang w:val="en-US" w:eastAsia="zh-CN" w:bidi="ar"/>
              </w:rPr>
              <w:t>包括材料费、运输费、施工费、机械费、人工费、</w:t>
            </w:r>
            <w:r>
              <w:rPr>
                <w:rFonts w:hint="eastAsia" w:cs="宋体"/>
                <w:i w:val="0"/>
                <w:color w:val="000000"/>
                <w:kern w:val="0"/>
                <w:sz w:val="18"/>
                <w:szCs w:val="18"/>
                <w:u w:val="none"/>
                <w:lang w:val="en-US" w:eastAsia="zh-CN" w:bidi="ar"/>
              </w:rPr>
              <w:t>辅材、</w:t>
            </w:r>
            <w:r>
              <w:rPr>
                <w:rFonts w:hint="default" w:cs="宋体"/>
                <w:i w:val="0"/>
                <w:color w:val="000000"/>
                <w:kern w:val="0"/>
                <w:sz w:val="18"/>
                <w:szCs w:val="18"/>
                <w:u w:val="none"/>
                <w:lang w:val="en-US" w:eastAsia="zh-CN" w:bidi="ar"/>
              </w:rPr>
              <w:t>资料、各项检测及各项验收费、税金等全部费用。</w:t>
            </w:r>
          </w:p>
          <w:p>
            <w:pPr>
              <w:keepNext w:val="0"/>
              <w:keepLines w:val="0"/>
              <w:widowControl/>
              <w:numPr>
                <w:ilvl w:val="0"/>
                <w:numId w:val="0"/>
              </w:numPr>
              <w:suppressLineNumbers w:val="0"/>
              <w:jc w:val="both"/>
              <w:textAlignment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2.投标人设计整改方案的：可自行编制报价格式参与报价。</w:t>
            </w:r>
          </w:p>
          <w:p>
            <w:pPr>
              <w:keepNext w:val="0"/>
              <w:keepLines w:val="0"/>
              <w:widowControl/>
              <w:numPr>
                <w:ilvl w:val="0"/>
                <w:numId w:val="0"/>
              </w:numPr>
              <w:suppressLineNumbers w:val="0"/>
              <w:jc w:val="both"/>
              <w:textAlignment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3.投标人未设计整改方案的：所整改的部件材质、规格、尺寸须严格参照设备部件原有部件材质、规格、尺寸执行。</w:t>
            </w:r>
          </w:p>
          <w:p>
            <w:pPr>
              <w:keepNext w:val="0"/>
              <w:keepLines w:val="0"/>
              <w:widowControl/>
              <w:numPr>
                <w:ilvl w:val="0"/>
                <w:numId w:val="0"/>
              </w:numPr>
              <w:suppressLineNumbers w:val="0"/>
              <w:jc w:val="both"/>
              <w:textAlignment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4.质保期：一年，固定单价按实际过磅重量结算。</w:t>
            </w:r>
          </w:p>
          <w:p>
            <w:pPr>
              <w:keepNext w:val="0"/>
              <w:keepLines w:val="0"/>
              <w:widowControl/>
              <w:numPr>
                <w:ilvl w:val="0"/>
                <w:numId w:val="0"/>
              </w:numPr>
              <w:suppressLineNumbers w:val="0"/>
              <w:jc w:val="both"/>
              <w:textAlignment w:val="center"/>
              <w:rPr>
                <w:rFonts w:hint="default"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5.付款方式：电汇。</w:t>
            </w:r>
          </w:p>
        </w:tc>
      </w:tr>
    </w:tbl>
    <w:p>
      <w:pPr>
        <w:spacing w:line="300" w:lineRule="auto"/>
        <w:jc w:val="both"/>
        <w:rPr>
          <w:rFonts w:hint="eastAsia" w:ascii="Times New Roman" w:hAnsi="Times New Roman" w:eastAsia="黑体"/>
          <w:color w:val="000000"/>
          <w:sz w:val="28"/>
          <w:szCs w:val="28"/>
        </w:rPr>
      </w:pPr>
    </w:p>
    <w:p>
      <w:pPr>
        <w:spacing w:line="360" w:lineRule="auto"/>
        <w:ind w:firstLine="4180" w:firstLineChars="1900"/>
        <w:jc w:val="center"/>
        <w:rPr>
          <w:rFonts w:cs="仿宋"/>
          <w:sz w:val="22"/>
          <w:szCs w:val="22"/>
        </w:rPr>
      </w:pPr>
      <w:r>
        <w:rPr>
          <w:rFonts w:hint="eastAsia" w:cs="仿宋"/>
          <w:sz w:val="22"/>
          <w:szCs w:val="22"/>
        </w:rPr>
        <w:t>供应商：（盖单位章）</w:t>
      </w:r>
    </w:p>
    <w:p>
      <w:pPr>
        <w:spacing w:line="360" w:lineRule="auto"/>
        <w:ind w:firstLine="4180" w:firstLineChars="1900"/>
        <w:jc w:val="center"/>
        <w:rPr>
          <w:rFonts w:hint="eastAsia" w:cs="仿宋"/>
          <w:sz w:val="22"/>
          <w:szCs w:val="22"/>
        </w:rPr>
      </w:pPr>
      <w:r>
        <w:rPr>
          <w:rFonts w:hint="eastAsia" w:cs="仿宋"/>
          <w:sz w:val="22"/>
          <w:szCs w:val="22"/>
        </w:rPr>
        <w:t>法定代表人或其委托代理人：（签字）</w:t>
      </w:r>
    </w:p>
    <w:p>
      <w:pPr>
        <w:spacing w:line="360" w:lineRule="auto"/>
        <w:ind w:firstLine="4180" w:firstLineChars="1900"/>
        <w:jc w:val="center"/>
        <w:rPr>
          <w:rFonts w:hint="eastAsia" w:cs="仿宋"/>
          <w:sz w:val="22"/>
          <w:szCs w:val="22"/>
        </w:rPr>
      </w:pPr>
      <w:r>
        <w:rPr>
          <w:rFonts w:hint="eastAsia" w:cs="仿宋"/>
          <w:sz w:val="22"/>
          <w:szCs w:val="22"/>
          <w:lang w:val="en-US" w:eastAsia="zh-CN"/>
        </w:rPr>
        <w:t xml:space="preserve">        联系电话：</w:t>
      </w:r>
    </w:p>
    <w:p>
      <w:pPr>
        <w:spacing w:line="360" w:lineRule="auto"/>
        <w:jc w:val="center"/>
        <w:rPr>
          <w:sz w:val="22"/>
          <w:szCs w:val="22"/>
        </w:rPr>
      </w:pPr>
      <w:r>
        <w:rPr>
          <w:rFonts w:hint="eastAsia" w:cs="仿宋"/>
          <w:sz w:val="22"/>
          <w:szCs w:val="22"/>
          <w:lang w:val="en-US" w:eastAsia="zh-CN"/>
        </w:rPr>
        <w:t>2024</w:t>
      </w:r>
      <w:r>
        <w:rPr>
          <w:rFonts w:hint="eastAsia" w:cs="仿宋"/>
          <w:sz w:val="22"/>
          <w:szCs w:val="22"/>
        </w:rPr>
        <w:t>年</w:t>
      </w:r>
      <w:r>
        <w:rPr>
          <w:rFonts w:hint="eastAsia" w:cs="仿宋"/>
          <w:sz w:val="22"/>
          <w:szCs w:val="22"/>
          <w:lang w:val="en-US" w:eastAsia="zh-CN"/>
        </w:rPr>
        <w:t xml:space="preserve">  </w:t>
      </w:r>
      <w:r>
        <w:rPr>
          <w:rFonts w:hint="eastAsia" w:cs="仿宋"/>
          <w:sz w:val="22"/>
          <w:szCs w:val="22"/>
        </w:rPr>
        <w:t>月</w:t>
      </w:r>
      <w:r>
        <w:rPr>
          <w:rFonts w:hint="eastAsia" w:cs="仿宋"/>
          <w:sz w:val="22"/>
          <w:szCs w:val="22"/>
          <w:lang w:val="en-US" w:eastAsia="zh-CN"/>
        </w:rPr>
        <w:t xml:space="preserve">  </w:t>
      </w:r>
      <w:r>
        <w:rPr>
          <w:rFonts w:hint="eastAsia" w:cs="仿宋"/>
          <w:sz w:val="22"/>
          <w:szCs w:val="22"/>
        </w:rPr>
        <w:t>日</w:t>
      </w:r>
    </w:p>
    <w:sectPr>
      <w:pgSz w:w="16838" w:h="11906" w:orient="landscape"/>
      <w:pgMar w:top="1803" w:right="1440" w:bottom="1803" w:left="144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59</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74</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CFB88"/>
    <w:multiLevelType w:val="singleLevel"/>
    <w:tmpl w:val="9E4CFB88"/>
    <w:lvl w:ilvl="0" w:tentative="0">
      <w:start w:val="2"/>
      <w:numFmt w:val="decimal"/>
      <w:suff w:val="nothing"/>
      <w:lvlText w:val="%1、"/>
      <w:lvlJc w:val="left"/>
    </w:lvl>
  </w:abstractNum>
  <w:abstractNum w:abstractNumId="1">
    <w:nsid w:val="C6D1C9D6"/>
    <w:multiLevelType w:val="singleLevel"/>
    <w:tmpl w:val="C6D1C9D6"/>
    <w:lvl w:ilvl="0" w:tentative="0">
      <w:start w:val="5"/>
      <w:numFmt w:val="chineseCounting"/>
      <w:suff w:val="nothing"/>
      <w:lvlText w:val="（%1）"/>
      <w:lvlJc w:val="left"/>
      <w:rPr>
        <w:rFonts w:hint="eastAsia"/>
      </w:rPr>
    </w:lvl>
  </w:abstractNum>
  <w:abstractNum w:abstractNumId="2">
    <w:nsid w:val="0000000E"/>
    <w:multiLevelType w:val="multilevel"/>
    <w:tmpl w:val="0000000E"/>
    <w:lvl w:ilvl="0" w:tentative="0">
      <w:start w:val="1"/>
      <w:numFmt w:val="decimal"/>
      <w:pStyle w:val="31"/>
      <w:lvlText w:val="（%1）"/>
      <w:lvlJc w:val="left"/>
      <w:pPr>
        <w:tabs>
          <w:tab w:val="left" w:pos="1200"/>
        </w:tabs>
        <w:ind w:left="1200" w:hanging="7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kNjExNWZlMWRjZGM0MmRiNTUzN2UxMjdjNWUyZWYifQ=="/>
  </w:docVars>
  <w:rsids>
    <w:rsidRoot w:val="00602F57"/>
    <w:rsid w:val="00602F57"/>
    <w:rsid w:val="00A3763F"/>
    <w:rsid w:val="00E47633"/>
    <w:rsid w:val="01BA15A2"/>
    <w:rsid w:val="02037EFE"/>
    <w:rsid w:val="063A1DEA"/>
    <w:rsid w:val="089F35D1"/>
    <w:rsid w:val="0A0124A3"/>
    <w:rsid w:val="0BC35C62"/>
    <w:rsid w:val="0CC24AE2"/>
    <w:rsid w:val="0F2A10F6"/>
    <w:rsid w:val="0F65560C"/>
    <w:rsid w:val="10025EAC"/>
    <w:rsid w:val="10CD79BB"/>
    <w:rsid w:val="120A60E3"/>
    <w:rsid w:val="16BD48C4"/>
    <w:rsid w:val="1832184D"/>
    <w:rsid w:val="1C781A13"/>
    <w:rsid w:val="213A5C8C"/>
    <w:rsid w:val="21FF059B"/>
    <w:rsid w:val="251E1D70"/>
    <w:rsid w:val="26972F82"/>
    <w:rsid w:val="271A798A"/>
    <w:rsid w:val="2866103B"/>
    <w:rsid w:val="2A732C00"/>
    <w:rsid w:val="2BBD7F9A"/>
    <w:rsid w:val="2BC13462"/>
    <w:rsid w:val="2CCC470D"/>
    <w:rsid w:val="33801A8B"/>
    <w:rsid w:val="34E669A2"/>
    <w:rsid w:val="34FF3AB6"/>
    <w:rsid w:val="35056B63"/>
    <w:rsid w:val="36644866"/>
    <w:rsid w:val="39045B6D"/>
    <w:rsid w:val="3A484B18"/>
    <w:rsid w:val="3B2E0A9A"/>
    <w:rsid w:val="3B65563B"/>
    <w:rsid w:val="3F3B71D9"/>
    <w:rsid w:val="4152091B"/>
    <w:rsid w:val="43085011"/>
    <w:rsid w:val="452D438A"/>
    <w:rsid w:val="45C81EC5"/>
    <w:rsid w:val="46AE0821"/>
    <w:rsid w:val="46B076EF"/>
    <w:rsid w:val="4C912C37"/>
    <w:rsid w:val="4D6A3322"/>
    <w:rsid w:val="4ECA6456"/>
    <w:rsid w:val="53610320"/>
    <w:rsid w:val="5406629C"/>
    <w:rsid w:val="549A5EE9"/>
    <w:rsid w:val="58455654"/>
    <w:rsid w:val="59DE5DB6"/>
    <w:rsid w:val="59F40C9E"/>
    <w:rsid w:val="5A0013FC"/>
    <w:rsid w:val="5D5E4DB7"/>
    <w:rsid w:val="5EB3311C"/>
    <w:rsid w:val="5EE7291C"/>
    <w:rsid w:val="611F140D"/>
    <w:rsid w:val="642E7C43"/>
    <w:rsid w:val="656F76DC"/>
    <w:rsid w:val="6598309D"/>
    <w:rsid w:val="65CA76D2"/>
    <w:rsid w:val="68DB1949"/>
    <w:rsid w:val="691A1F35"/>
    <w:rsid w:val="6B735ED1"/>
    <w:rsid w:val="6E2214E9"/>
    <w:rsid w:val="71086F10"/>
    <w:rsid w:val="7616114B"/>
    <w:rsid w:val="77244524"/>
    <w:rsid w:val="77C4237A"/>
    <w:rsid w:val="78227687"/>
    <w:rsid w:val="7A3C480E"/>
    <w:rsid w:val="7B7F61CD"/>
    <w:rsid w:val="7D80622C"/>
    <w:rsid w:val="7E25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qFormat/>
    <w:uiPriority w:val="99"/>
    <w:pPr>
      <w:keepNext/>
      <w:keepLines/>
      <w:widowControl w:val="0"/>
      <w:spacing w:before="260" w:after="260" w:line="415" w:lineRule="auto"/>
      <w:jc w:val="both"/>
      <w:outlineLvl w:val="1"/>
    </w:pPr>
    <w:rPr>
      <w:rFonts w:ascii="Arial" w:hAnsi="Arial" w:eastAsia="黑体" w:cs="Times New Roman"/>
      <w:b/>
      <w:bCs/>
      <w:sz w:val="32"/>
      <w:szCs w:val="32"/>
    </w:rPr>
  </w:style>
  <w:style w:type="paragraph" w:styleId="3">
    <w:name w:val="heading 3"/>
    <w:basedOn w:val="1"/>
    <w:next w:val="1"/>
    <w:link w:val="24"/>
    <w:qFormat/>
    <w:uiPriority w:val="99"/>
    <w:pPr>
      <w:keepNext/>
      <w:keepLines/>
      <w:widowControl w:val="0"/>
      <w:spacing w:before="260" w:after="260" w:line="415" w:lineRule="auto"/>
      <w:jc w:val="both"/>
      <w:outlineLvl w:val="2"/>
    </w:pPr>
    <w:rPr>
      <w:rFonts w:ascii="Times New Roman" w:hAnsi="Times New Roman" w:cs="Times New Roman"/>
      <w:b/>
      <w:bCs/>
      <w:sz w:val="32"/>
      <w:szCs w:val="32"/>
    </w:rPr>
  </w:style>
  <w:style w:type="paragraph" w:styleId="4">
    <w:name w:val="heading 4"/>
    <w:basedOn w:val="1"/>
    <w:next w:val="1"/>
    <w:qFormat/>
    <w:uiPriority w:val="99"/>
    <w:pPr>
      <w:keepNext/>
      <w:keepLines/>
      <w:widowControl w:val="0"/>
      <w:spacing w:before="280" w:after="290" w:line="374" w:lineRule="auto"/>
      <w:jc w:val="both"/>
      <w:outlineLvl w:val="3"/>
    </w:pPr>
    <w:rPr>
      <w:rFonts w:ascii="Arial" w:hAnsi="Arial" w:eastAsia="黑体"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val="0"/>
      <w:ind w:firstLine="420" w:firstLineChars="200"/>
      <w:jc w:val="both"/>
    </w:pPr>
    <w:rPr>
      <w:rFonts w:cs="Times New Roman"/>
      <w:szCs w:val="20"/>
    </w:rPr>
  </w:style>
  <w:style w:type="paragraph" w:styleId="6">
    <w:name w:val="annotation text"/>
    <w:basedOn w:val="1"/>
    <w:qFormat/>
    <w:uiPriority w:val="99"/>
    <w:pPr>
      <w:widowControl w:val="0"/>
    </w:pPr>
    <w:rPr>
      <w:rFonts w:ascii="Calibri" w:hAnsi="Calibri" w:cs="Times New Roman"/>
    </w:rPr>
  </w:style>
  <w:style w:type="paragraph" w:styleId="7">
    <w:name w:val="Body Text"/>
    <w:basedOn w:val="1"/>
    <w:qFormat/>
    <w:uiPriority w:val="99"/>
    <w:pPr>
      <w:widowControl w:val="0"/>
      <w:spacing w:after="120"/>
      <w:jc w:val="both"/>
    </w:pPr>
    <w:rPr>
      <w:rFonts w:ascii="Times New Roman" w:hAnsi="Times New Roman" w:cs="Times New Roman"/>
    </w:rPr>
  </w:style>
  <w:style w:type="paragraph" w:styleId="8">
    <w:name w:val="Body Text Indent"/>
    <w:basedOn w:val="1"/>
    <w:qFormat/>
    <w:uiPriority w:val="99"/>
    <w:pPr>
      <w:widowControl w:val="0"/>
      <w:spacing w:after="120"/>
      <w:ind w:left="420" w:leftChars="200"/>
      <w:jc w:val="both"/>
    </w:pPr>
    <w:rPr>
      <w:rFonts w:ascii="Times New Roman" w:hAnsi="Times New Roman" w:cs="Times New Roman"/>
    </w:rPr>
  </w:style>
  <w:style w:type="paragraph" w:styleId="9">
    <w:name w:val="Plain Text"/>
    <w:basedOn w:val="1"/>
    <w:qFormat/>
    <w:uiPriority w:val="99"/>
    <w:pPr>
      <w:widowControl w:val="0"/>
      <w:jc w:val="both"/>
    </w:pPr>
    <w:rPr>
      <w:rFonts w:hAnsi="Courier New" w:cs="Times New Roman"/>
      <w:sz w:val="20"/>
      <w:szCs w:val="20"/>
    </w:rPr>
  </w:style>
  <w:style w:type="paragraph" w:styleId="10">
    <w:name w:val="Body Text Indent 2"/>
    <w:basedOn w:val="1"/>
    <w:qFormat/>
    <w:uiPriority w:val="99"/>
    <w:pPr>
      <w:widowControl w:val="0"/>
      <w:spacing w:after="120" w:line="480" w:lineRule="auto"/>
      <w:ind w:left="420" w:leftChars="200"/>
      <w:jc w:val="both"/>
    </w:pPr>
    <w:rPr>
      <w:rFonts w:ascii="Times New Roman" w:hAnsi="Times New Roman" w:cs="Times New Roman"/>
    </w:rPr>
  </w:style>
  <w:style w:type="paragraph" w:styleId="11">
    <w:name w:val="footer"/>
    <w:basedOn w:val="1"/>
    <w:unhideWhenUsed/>
    <w:qFormat/>
    <w:uiPriority w:val="99"/>
    <w:pPr>
      <w:tabs>
        <w:tab w:val="center" w:pos="4153"/>
        <w:tab w:val="right" w:pos="8306"/>
      </w:tabs>
      <w:snapToGrid w:val="0"/>
    </w:pPr>
    <w:rPr>
      <w:rFonts w:ascii="Calibri" w:hAnsi="Calibri" w:cs="Times New Roman"/>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3">
    <w:name w:val="Normal (Web)"/>
    <w:basedOn w:val="1"/>
    <w:qFormat/>
    <w:uiPriority w:val="99"/>
    <w:pPr>
      <w:spacing w:before="100" w:beforeAutospacing="1" w:after="100" w:afterAutospacing="1"/>
    </w:pPr>
    <w:rPr>
      <w:rFonts w:ascii="宋体" w:cs="宋体"/>
      <w:sz w:val="24"/>
      <w:lang w:bidi="ar-SA"/>
    </w:rPr>
  </w:style>
  <w:style w:type="paragraph" w:styleId="14">
    <w:name w:val="Body Text First Indent 2"/>
    <w:basedOn w:val="8"/>
    <w:qFormat/>
    <w:uiPriority w:val="99"/>
    <w:pPr>
      <w:ind w:firstLine="420" w:firstLineChars="200"/>
    </w:pPr>
  </w:style>
  <w:style w:type="table" w:styleId="16">
    <w:name w:val="Table Grid"/>
    <w:basedOn w:val="1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paragraph" w:customStyle="1" w:styleId="19">
    <w:name w:val="p0"/>
    <w:basedOn w:val="1"/>
    <w:qFormat/>
    <w:uiPriority w:val="99"/>
    <w:pPr>
      <w:jc w:val="both"/>
    </w:pPr>
    <w:rPr>
      <w:rFonts w:ascii="Times New Roman" w:hAnsi="Times New Roman" w:cs="Times New Roman"/>
      <w:sz w:val="21"/>
      <w:szCs w:val="21"/>
    </w:rPr>
  </w:style>
  <w:style w:type="paragraph" w:customStyle="1" w:styleId="20">
    <w:name w:val="一级"/>
    <w:basedOn w:val="21"/>
    <w:qFormat/>
    <w:uiPriority w:val="0"/>
    <w:rPr>
      <w:b w:val="0"/>
      <w:sz w:val="32"/>
      <w:szCs w:val="32"/>
    </w:rPr>
  </w:style>
  <w:style w:type="paragraph" w:customStyle="1" w:styleId="21">
    <w:name w:val="样式2"/>
    <w:basedOn w:val="1"/>
    <w:qFormat/>
    <w:uiPriority w:val="0"/>
    <w:pPr>
      <w:widowControl w:val="0"/>
      <w:spacing w:beforeLines="50" w:line="360" w:lineRule="auto"/>
      <w:jc w:val="center"/>
      <w:outlineLvl w:val="0"/>
    </w:pPr>
    <w:rPr>
      <w:rFonts w:ascii="Times New Roman" w:hAnsi="Times New Roman" w:eastAsia="黑体" w:cs="Times New Roman"/>
      <w:b/>
      <w:kern w:val="2"/>
      <w:sz w:val="44"/>
      <w:szCs w:val="44"/>
    </w:rPr>
  </w:style>
  <w:style w:type="paragraph" w:customStyle="1" w:styleId="22">
    <w:name w:val="二级"/>
    <w:basedOn w:val="23"/>
    <w:qFormat/>
    <w:uiPriority w:val="0"/>
    <w:pPr>
      <w:tabs>
        <w:tab w:val="left" w:pos="851"/>
      </w:tabs>
      <w:jc w:val="center"/>
    </w:pPr>
    <w:rPr>
      <w:b w:val="0"/>
      <w:bCs w:val="0"/>
      <w:sz w:val="28"/>
    </w:rPr>
  </w:style>
  <w:style w:type="paragraph" w:customStyle="1" w:styleId="23">
    <w:name w:val="A标题4"/>
    <w:basedOn w:val="4"/>
    <w:next w:val="1"/>
    <w:qFormat/>
    <w:uiPriority w:val="0"/>
    <w:pPr>
      <w:keepNext w:val="0"/>
      <w:keepLines w:val="0"/>
      <w:tabs>
        <w:tab w:val="left" w:pos="851"/>
      </w:tabs>
      <w:spacing w:before="0" w:after="80" w:line="360" w:lineRule="auto"/>
      <w:ind w:left="851" w:hanging="851"/>
    </w:pPr>
    <w:rPr>
      <w:sz w:val="24"/>
    </w:rPr>
  </w:style>
  <w:style w:type="character" w:customStyle="1" w:styleId="24">
    <w:name w:val="标题 3 Char"/>
    <w:link w:val="3"/>
    <w:qFormat/>
    <w:uiPriority w:val="99"/>
    <w:rPr>
      <w:rFonts w:ascii="Times New Roman" w:hAnsi="Times New Roman" w:cs="Times New Roman"/>
      <w:b/>
      <w:bCs/>
      <w:sz w:val="32"/>
      <w:szCs w:val="32"/>
    </w:rPr>
  </w:style>
  <w:style w:type="paragraph" w:customStyle="1" w:styleId="25">
    <w:name w:val="正文格式"/>
    <w:qFormat/>
    <w:uiPriority w:val="99"/>
    <w:pPr>
      <w:spacing w:line="360" w:lineRule="auto"/>
      <w:ind w:firstLine="200" w:firstLineChars="200"/>
    </w:pPr>
    <w:rPr>
      <w:rFonts w:ascii="宋体" w:hAnsi="宋体" w:eastAsia="宋体" w:cs="宋体"/>
      <w:kern w:val="2"/>
      <w:sz w:val="28"/>
      <w:szCs w:val="28"/>
      <w:lang w:val="en-US" w:eastAsia="zh-CN" w:bidi="ar-SA"/>
    </w:rPr>
  </w:style>
  <w:style w:type="paragraph" w:customStyle="1" w:styleId="26">
    <w:name w:val="三级"/>
    <w:basedOn w:val="23"/>
    <w:qFormat/>
    <w:uiPriority w:val="0"/>
    <w:rPr>
      <w:b w:val="0"/>
      <w:bCs w:val="0"/>
    </w:rPr>
  </w:style>
  <w:style w:type="paragraph" w:customStyle="1" w:styleId="27">
    <w:name w:val="样式 标题 2 + Times New Roman 四号 非加粗 段前: 5 磅 段后: 0 磅 行距: 固定值 20..."/>
    <w:basedOn w:val="2"/>
    <w:qFormat/>
    <w:uiPriority w:val="99"/>
    <w:pPr>
      <w:spacing w:before="100" w:after="0" w:line="400" w:lineRule="exact"/>
    </w:pPr>
    <w:rPr>
      <w:rFonts w:ascii="Times New Roman" w:hAnsi="Times New Roman"/>
      <w:b w:val="0"/>
      <w:bCs w:val="0"/>
      <w:sz w:val="20"/>
      <w:szCs w:val="20"/>
    </w:rPr>
  </w:style>
  <w:style w:type="paragraph" w:customStyle="1" w:styleId="28">
    <w:name w:val="样式1"/>
    <w:basedOn w:val="1"/>
    <w:next w:val="4"/>
    <w:qFormat/>
    <w:uiPriority w:val="99"/>
    <w:pPr>
      <w:widowControl w:val="0"/>
      <w:spacing w:line="360" w:lineRule="auto"/>
      <w:ind w:firstLine="420" w:firstLineChars="200"/>
      <w:jc w:val="both"/>
    </w:pPr>
    <w:rPr>
      <w:rFonts w:cs="Times New Roman"/>
      <w:kern w:val="2"/>
      <w:sz w:val="21"/>
      <w:szCs w:val="21"/>
    </w:rPr>
  </w:style>
  <w:style w:type="paragraph" w:customStyle="1" w:styleId="29">
    <w:name w:val="正文1"/>
    <w:basedOn w:val="1"/>
    <w:qFormat/>
    <w:uiPriority w:val="99"/>
    <w:pPr>
      <w:widowControl w:val="0"/>
      <w:jc w:val="both"/>
    </w:pPr>
    <w:rPr>
      <w:rFonts w:ascii="Calibri" w:hAnsi="Calibri" w:cs="Times New Roman"/>
      <w:sz w:val="20"/>
      <w:szCs w:val="20"/>
    </w:rPr>
  </w:style>
  <w:style w:type="paragraph" w:customStyle="1" w:styleId="30">
    <w:name w:val="Blockquote"/>
    <w:basedOn w:val="1"/>
    <w:qFormat/>
    <w:uiPriority w:val="99"/>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31">
    <w:name w:val="编号1"/>
    <w:basedOn w:val="5"/>
    <w:qFormat/>
    <w:uiPriority w:val="99"/>
    <w:pPr>
      <w:numPr>
        <w:ilvl w:val="0"/>
        <w:numId w:val="1"/>
      </w:numPr>
      <w:tabs>
        <w:tab w:val="left" w:pos="720"/>
      </w:tabs>
      <w:adjustRightInd w:val="0"/>
      <w:snapToGrid w:val="0"/>
      <w:spacing w:before="120" w:line="400" w:lineRule="exact"/>
      <w:ind w:left="720" w:firstLine="0" w:firstLineChars="0"/>
    </w:pPr>
    <w:rPr>
      <w:rFonts w:ascii="Times New Roman" w:hAnsi="Times New Roman"/>
    </w:rPr>
  </w:style>
  <w:style w:type="paragraph" w:customStyle="1" w:styleId="32">
    <w:name w:val="样式 标题 3 + (中文) 黑体 小四 非加粗 段前: 7.8 磅 段后: 0 磅 行距: 固定值 20 磅"/>
    <w:basedOn w:val="3"/>
    <w:qFormat/>
    <w:uiPriority w:val="99"/>
    <w:pPr>
      <w:spacing w:before="0" w:after="0" w:line="400" w:lineRule="exact"/>
    </w:pPr>
    <w:rPr>
      <w:rFonts w:eastAsia="黑体" w:cs="宋体"/>
      <w:b w:val="0"/>
      <w:bCs w:val="0"/>
      <w:sz w:val="24"/>
      <w:szCs w:val="20"/>
    </w:rPr>
  </w:style>
  <w:style w:type="character" w:customStyle="1" w:styleId="33">
    <w:name w:val="font11"/>
    <w:basedOn w:val="17"/>
    <w:qFormat/>
    <w:uiPriority w:val="0"/>
    <w:rPr>
      <w:rFonts w:hint="eastAsia" w:ascii="黑体" w:hAnsi="宋体" w:eastAsia="黑体" w:cs="黑体"/>
      <w:color w:val="000000"/>
      <w:sz w:val="18"/>
      <w:szCs w:val="18"/>
      <w:u w:val="none"/>
    </w:rPr>
  </w:style>
  <w:style w:type="character" w:customStyle="1" w:styleId="34">
    <w:name w:val="font2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15529</Words>
  <Characters>16629</Characters>
  <Lines>371</Lines>
  <Paragraphs>104</Paragraphs>
  <TotalTime>0</TotalTime>
  <ScaleCrop>false</ScaleCrop>
  <LinksUpToDate>false</LinksUpToDate>
  <CharactersWithSpaces>17643</CharactersWithSpaces>
  <Application>WPS Office_12.1.0.15336_F1E327BC-269C-435d-A152-05C5408002CA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2023-10-09T08:10:00Z</dcterms:created>
  <dc:creator>Administrator</dc:creator>
  <cp:lastModifiedBy>史美伟</cp:lastModifiedBy>
  <cp:lastPrinted>2023-10-24T06:50:00Z</cp:lastPrinted>
  <dcterms:modified xsi:type="dcterms:W3CDTF">2024-07-25T07:42:46Z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F4F9C5F882FD4BE9B8F3384464181E8F_12</vt:lpwstr>
  </property>
</Properties>
</file>